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D0436">
      <w:pPr>
        <w:snapToGrid w:val="0"/>
        <w:spacing w:line="360" w:lineRule="auto"/>
        <w:ind w:firstLine="883" w:firstLineChars="200"/>
        <w:jc w:val="center"/>
        <w:rPr>
          <w:rFonts w:hint="eastAsia" w:asciiTheme="minorEastAsia" w:hAnsiTheme="minorEastAsia" w:eastAsiaTheme="minorEastAsia"/>
          <w:b/>
          <w:color w:val="000000"/>
          <w:sz w:val="44"/>
          <w:szCs w:val="44"/>
          <w:highlight w:val="none"/>
        </w:rPr>
      </w:pPr>
      <w:r>
        <w:rPr>
          <w:rFonts w:hint="eastAsia" w:asciiTheme="minorEastAsia" w:hAnsiTheme="minorEastAsia" w:eastAsiaTheme="minorEastAsia"/>
          <w:b/>
          <w:color w:val="000000"/>
          <w:sz w:val="44"/>
          <w:szCs w:val="44"/>
          <w:highlight w:val="none"/>
        </w:rPr>
        <w:t>政府</w:t>
      </w:r>
      <w:r>
        <w:rPr>
          <w:rFonts w:asciiTheme="minorEastAsia" w:hAnsiTheme="minorEastAsia" w:eastAsiaTheme="minorEastAsia"/>
          <w:b/>
          <w:color w:val="000000"/>
          <w:sz w:val="44"/>
          <w:szCs w:val="44"/>
          <w:highlight w:val="none"/>
        </w:rPr>
        <w:t>采购云平台</w:t>
      </w:r>
      <w:r>
        <w:rPr>
          <w:rFonts w:hint="eastAsia" w:asciiTheme="minorEastAsia" w:hAnsiTheme="minorEastAsia" w:eastAsiaTheme="minorEastAsia"/>
          <w:b/>
          <w:color w:val="000000"/>
          <w:sz w:val="44"/>
          <w:szCs w:val="44"/>
          <w:highlight w:val="none"/>
        </w:rPr>
        <w:t>服务合同</w:t>
      </w:r>
    </w:p>
    <w:p w14:paraId="6F3F5CBD">
      <w:pPr>
        <w:wordWrap w:val="0"/>
        <w:snapToGrid w:val="0"/>
        <w:spacing w:line="360" w:lineRule="auto"/>
        <w:ind w:firstLine="420" w:firstLineChars="200"/>
        <w:jc w:val="right"/>
        <w:rPr>
          <w:rFonts w:hint="eastAsia" w:ascii="宋体" w:hAnsi="宋体"/>
          <w:color w:val="000000"/>
          <w:sz w:val="24"/>
          <w:szCs w:val="24"/>
          <w:highlight w:val="none"/>
          <w:u w:val="single"/>
        </w:rPr>
      </w:pPr>
      <w:r>
        <w:rPr>
          <w:rFonts w:hint="eastAsia" w:asciiTheme="minorEastAsia" w:hAnsiTheme="minorEastAsia" w:eastAsiaTheme="minorEastAsia"/>
          <w:bCs/>
          <w:szCs w:val="21"/>
          <w:highlight w:val="none"/>
        </w:rPr>
        <w:t xml:space="preserve">                     </w:t>
      </w:r>
      <w:r>
        <w:rPr>
          <w:rFonts w:asciiTheme="minorEastAsia" w:hAnsiTheme="minorEastAsia" w:eastAsiaTheme="minorEastAsia"/>
          <w:bCs/>
          <w:sz w:val="24"/>
          <w:szCs w:val="24"/>
          <w:highlight w:val="none"/>
        </w:rPr>
        <w:t xml:space="preserve"> 合同编号：</w:t>
      </w:r>
      <w:r>
        <w:rPr>
          <w:rFonts w:ascii="宋体" w:hAnsi="宋体"/>
          <w:color w:val="000000"/>
          <w:sz w:val="24"/>
          <w:szCs w:val="24"/>
          <w:highlight w:val="none"/>
          <w:u w:val="single"/>
        </w:rPr>
        <w:t xml:space="preserve">               </w:t>
      </w:r>
    </w:p>
    <w:p w14:paraId="1499C130">
      <w:pPr>
        <w:snapToGrid w:val="0"/>
        <w:spacing w:line="360" w:lineRule="auto"/>
        <w:rPr>
          <w:rFonts w:hint="eastAsia" w:asciiTheme="minorEastAsia" w:hAnsiTheme="minorEastAsia" w:eastAsiaTheme="minorEastAsia"/>
          <w:b/>
          <w:bCs/>
          <w:sz w:val="24"/>
          <w:szCs w:val="24"/>
          <w:highlight w:val="none"/>
        </w:rPr>
      </w:pPr>
    </w:p>
    <w:p w14:paraId="1F2BCC72">
      <w:pPr>
        <w:snapToGrid w:val="0"/>
        <w:spacing w:line="360" w:lineRule="auto"/>
        <w:rPr>
          <w:rFonts w:hint="eastAsia" w:asciiTheme="minorEastAsia" w:hAnsiTheme="minorEastAsia" w:eastAsiaTheme="minorEastAsia"/>
          <w:bCs/>
          <w:color w:val="FF0000"/>
          <w:sz w:val="24"/>
          <w:szCs w:val="24"/>
          <w:highlight w:val="none"/>
          <w:u w:val="single"/>
        </w:rPr>
      </w:pPr>
      <w:r>
        <w:rPr>
          <w:rFonts w:hint="eastAsia" w:asciiTheme="minorEastAsia" w:hAnsiTheme="minorEastAsia" w:eastAsiaTheme="minorEastAsia"/>
          <w:b/>
          <w:bCs/>
          <w:sz w:val="24"/>
          <w:szCs w:val="24"/>
          <w:highlight w:val="none"/>
        </w:rPr>
        <w:t>采购</w:t>
      </w:r>
      <w:r>
        <w:rPr>
          <w:rFonts w:asciiTheme="minorEastAsia" w:hAnsiTheme="minorEastAsia" w:eastAsiaTheme="minorEastAsia"/>
          <w:b/>
          <w:bCs/>
          <w:sz w:val="24"/>
          <w:szCs w:val="24"/>
          <w:highlight w:val="none"/>
        </w:rPr>
        <w:t>单位</w:t>
      </w:r>
      <w:r>
        <w:rPr>
          <w:rFonts w:hint="eastAsia" w:asciiTheme="minorEastAsia" w:hAnsiTheme="minorEastAsia" w:eastAsiaTheme="minorEastAsia"/>
          <w:b/>
          <w:bCs/>
          <w:sz w:val="24"/>
          <w:szCs w:val="24"/>
          <w:highlight w:val="none"/>
        </w:rPr>
        <w:t>（甲方）</w:t>
      </w:r>
      <w:r>
        <w:rPr>
          <w:rFonts w:hint="eastAsia" w:asciiTheme="minorEastAsia" w:hAnsiTheme="minorEastAsia" w:eastAsiaTheme="minorEastAsia"/>
          <w:bCs/>
          <w:sz w:val="24"/>
          <w:szCs w:val="24"/>
          <w:highlight w:val="none"/>
        </w:rPr>
        <w:t>：</w:t>
      </w:r>
      <w:r>
        <w:rPr>
          <w:rFonts w:hint="eastAsia" w:asciiTheme="minorEastAsia" w:hAnsiTheme="minorEastAsia" w:eastAsiaTheme="minorEastAsia"/>
          <w:bCs/>
          <w:sz w:val="24"/>
          <w:szCs w:val="24"/>
          <w:highlight w:val="none"/>
          <w:u w:val="single"/>
        </w:rPr>
        <w:t xml:space="preserve"> </w:t>
      </w:r>
      <w:r>
        <w:rPr>
          <w:rFonts w:asciiTheme="minorEastAsia" w:hAnsiTheme="minorEastAsia" w:eastAsiaTheme="minorEastAsia"/>
          <w:bCs/>
          <w:sz w:val="24"/>
          <w:szCs w:val="24"/>
          <w:highlight w:val="none"/>
          <w:u w:val="single"/>
        </w:rPr>
        <w:t xml:space="preserve">  </w:t>
      </w:r>
      <w:r>
        <w:rPr>
          <w:rFonts w:hint="eastAsia" w:asciiTheme="minorEastAsia" w:hAnsiTheme="minorEastAsia" w:eastAsiaTheme="minorEastAsia"/>
          <w:bCs/>
          <w:sz w:val="24"/>
          <w:szCs w:val="24"/>
          <w:highlight w:val="none"/>
          <w:u w:val="single"/>
        </w:rPr>
        <w:t xml:space="preserve"> </w:t>
      </w:r>
    </w:p>
    <w:p w14:paraId="195ED41C">
      <w:pPr>
        <w:snapToGrid w:val="0"/>
        <w:spacing w:line="360" w:lineRule="auto"/>
        <w:rPr>
          <w:rFonts w:hint="eastAsia" w:asciiTheme="minorEastAsia" w:hAnsiTheme="minorEastAsia" w:eastAsiaTheme="minorEastAsia"/>
          <w:bCs/>
          <w:sz w:val="24"/>
          <w:szCs w:val="24"/>
          <w:highlight w:val="none"/>
        </w:rPr>
      </w:pPr>
      <w:r>
        <w:rPr>
          <w:rFonts w:hint="eastAsia" w:asciiTheme="minorEastAsia" w:hAnsiTheme="minorEastAsia" w:eastAsiaTheme="minorEastAsia"/>
          <w:b/>
          <w:bCs/>
          <w:sz w:val="24"/>
          <w:szCs w:val="24"/>
          <w:highlight w:val="none"/>
        </w:rPr>
        <w:t>供应商（乙方）</w:t>
      </w:r>
      <w:r>
        <w:rPr>
          <w:rFonts w:hint="eastAsia" w:asciiTheme="minorEastAsia" w:hAnsiTheme="minorEastAsia" w:eastAsiaTheme="minorEastAsia"/>
          <w:bCs/>
          <w:sz w:val="24"/>
          <w:szCs w:val="24"/>
          <w:highlight w:val="none"/>
        </w:rPr>
        <w:t>：政采云股份</w:t>
      </w:r>
      <w:r>
        <w:rPr>
          <w:rFonts w:asciiTheme="minorEastAsia" w:hAnsiTheme="minorEastAsia" w:eastAsiaTheme="minorEastAsia"/>
          <w:bCs/>
          <w:sz w:val="24"/>
          <w:szCs w:val="24"/>
          <w:highlight w:val="none"/>
        </w:rPr>
        <w:t>有限公司</w:t>
      </w:r>
    </w:p>
    <w:p w14:paraId="49D32A1B">
      <w:pPr>
        <w:snapToGrid w:val="0"/>
        <w:spacing w:line="360" w:lineRule="auto"/>
        <w:rPr>
          <w:rFonts w:hint="eastAsia" w:asciiTheme="minorEastAsia" w:hAnsiTheme="minorEastAsia" w:eastAsiaTheme="minorEastAsia"/>
          <w:bCs/>
          <w:sz w:val="24"/>
          <w:szCs w:val="24"/>
          <w:highlight w:val="none"/>
        </w:rPr>
      </w:pPr>
    </w:p>
    <w:p w14:paraId="41B3D3C2">
      <w:pPr>
        <w:snapToGrid w:val="0"/>
        <w:spacing w:line="360" w:lineRule="auto"/>
        <w:ind w:firstLine="480" w:firstLineChars="200"/>
        <w:rPr>
          <w:rFonts w:hint="eastAsia" w:asciiTheme="minorEastAsia" w:hAnsiTheme="minorEastAsia" w:eastAsiaTheme="minorEastAsia"/>
          <w:bCs/>
          <w:sz w:val="24"/>
          <w:szCs w:val="24"/>
          <w:highlight w:val="none"/>
          <w:lang w:bidi="en-US"/>
        </w:rPr>
      </w:pPr>
      <w:r>
        <w:rPr>
          <w:rFonts w:hint="eastAsia" w:asciiTheme="minorEastAsia" w:hAnsiTheme="minorEastAsia" w:eastAsiaTheme="minorEastAsia"/>
          <w:bCs/>
          <w:sz w:val="24"/>
          <w:szCs w:val="24"/>
          <w:highlight w:val="none"/>
          <w:lang w:bidi="en-US"/>
        </w:rPr>
        <w:t>根据《中华人民共和国民法典》《中华人民共和国</w:t>
      </w:r>
      <w:r>
        <w:rPr>
          <w:rFonts w:asciiTheme="minorEastAsia" w:hAnsiTheme="minorEastAsia" w:eastAsiaTheme="minorEastAsia"/>
          <w:bCs/>
          <w:sz w:val="24"/>
          <w:szCs w:val="24"/>
          <w:highlight w:val="none"/>
          <w:lang w:bidi="en-US"/>
        </w:rPr>
        <w:t>政府采购法》相关法律</w:t>
      </w:r>
      <w:r>
        <w:rPr>
          <w:rFonts w:hint="eastAsia" w:asciiTheme="minorEastAsia" w:hAnsiTheme="minorEastAsia" w:eastAsiaTheme="minorEastAsia"/>
          <w:bCs/>
          <w:sz w:val="24"/>
          <w:szCs w:val="24"/>
          <w:highlight w:val="none"/>
          <w:lang w:bidi="en-US"/>
        </w:rPr>
        <w:t>法规，</w:t>
      </w:r>
      <w:r>
        <w:rPr>
          <w:rFonts w:asciiTheme="minorEastAsia" w:hAnsiTheme="minorEastAsia" w:eastAsiaTheme="minorEastAsia"/>
          <w:bCs/>
          <w:sz w:val="24"/>
          <w:szCs w:val="24"/>
          <w:highlight w:val="none"/>
          <w:lang w:bidi="en-US"/>
        </w:rPr>
        <w:t>就乙方</w:t>
      </w:r>
      <w:r>
        <w:rPr>
          <w:rFonts w:hint="eastAsia" w:asciiTheme="minorEastAsia" w:hAnsiTheme="minorEastAsia" w:eastAsiaTheme="minorEastAsia"/>
          <w:bCs/>
          <w:sz w:val="24"/>
          <w:szCs w:val="24"/>
          <w:highlight w:val="none"/>
          <w:lang w:bidi="en-US"/>
        </w:rPr>
        <w:t>向</w:t>
      </w:r>
      <w:r>
        <w:rPr>
          <w:rFonts w:asciiTheme="minorEastAsia" w:hAnsiTheme="minorEastAsia" w:eastAsiaTheme="minorEastAsia"/>
          <w:bCs/>
          <w:sz w:val="24"/>
          <w:szCs w:val="24"/>
          <w:highlight w:val="none"/>
          <w:lang w:bidi="en-US"/>
        </w:rPr>
        <w:t>甲方提供“政府采购云平台</w:t>
      </w:r>
      <w:r>
        <w:rPr>
          <w:rFonts w:hint="eastAsia" w:asciiTheme="minorEastAsia" w:hAnsiTheme="minorEastAsia" w:eastAsiaTheme="minorEastAsia"/>
          <w:bCs/>
          <w:sz w:val="24"/>
          <w:szCs w:val="24"/>
          <w:highlight w:val="none"/>
          <w:lang w:bidi="en-US"/>
        </w:rPr>
        <w:t>”（以下</w:t>
      </w:r>
      <w:r>
        <w:rPr>
          <w:rFonts w:asciiTheme="minorEastAsia" w:hAnsiTheme="minorEastAsia" w:eastAsiaTheme="minorEastAsia"/>
          <w:bCs/>
          <w:sz w:val="24"/>
          <w:szCs w:val="24"/>
          <w:highlight w:val="none"/>
          <w:lang w:bidi="en-US"/>
        </w:rPr>
        <w:t>简称“</w:t>
      </w:r>
      <w:r>
        <w:rPr>
          <w:rFonts w:hint="eastAsia" w:asciiTheme="minorEastAsia" w:hAnsiTheme="minorEastAsia" w:eastAsiaTheme="minorEastAsia"/>
          <w:bCs/>
          <w:sz w:val="24"/>
          <w:szCs w:val="24"/>
          <w:highlight w:val="none"/>
          <w:lang w:bidi="en-US"/>
        </w:rPr>
        <w:t>政采云</w:t>
      </w:r>
      <w:r>
        <w:rPr>
          <w:rFonts w:asciiTheme="minorEastAsia" w:hAnsiTheme="minorEastAsia" w:eastAsiaTheme="minorEastAsia"/>
          <w:bCs/>
          <w:sz w:val="24"/>
          <w:szCs w:val="24"/>
          <w:highlight w:val="none"/>
          <w:lang w:bidi="en-US"/>
        </w:rPr>
        <w:t>平台”</w:t>
      </w:r>
      <w:r>
        <w:rPr>
          <w:rFonts w:hint="eastAsia" w:asciiTheme="minorEastAsia" w:hAnsiTheme="minorEastAsia" w:eastAsiaTheme="minorEastAsia"/>
          <w:bCs/>
          <w:sz w:val="24"/>
          <w:szCs w:val="24"/>
          <w:highlight w:val="none"/>
          <w:lang w:bidi="en-US"/>
        </w:rPr>
        <w:t>）</w:t>
      </w:r>
      <w:r>
        <w:rPr>
          <w:rFonts w:asciiTheme="minorEastAsia" w:hAnsiTheme="minorEastAsia" w:eastAsiaTheme="minorEastAsia"/>
          <w:bCs/>
          <w:sz w:val="24"/>
          <w:szCs w:val="24"/>
          <w:highlight w:val="none"/>
          <w:lang w:bidi="en-US"/>
        </w:rPr>
        <w:t>相关服务事宜，双方经友好协商</w:t>
      </w:r>
      <w:r>
        <w:rPr>
          <w:rFonts w:hint="eastAsia" w:asciiTheme="minorEastAsia" w:hAnsiTheme="minorEastAsia" w:eastAsiaTheme="minorEastAsia"/>
          <w:bCs/>
          <w:sz w:val="24"/>
          <w:szCs w:val="24"/>
          <w:highlight w:val="none"/>
          <w:lang w:bidi="en-US"/>
        </w:rPr>
        <w:t>，</w:t>
      </w:r>
      <w:r>
        <w:rPr>
          <w:rFonts w:asciiTheme="minorEastAsia" w:hAnsiTheme="minorEastAsia" w:eastAsiaTheme="minorEastAsia"/>
          <w:bCs/>
          <w:sz w:val="24"/>
          <w:szCs w:val="24"/>
          <w:highlight w:val="none"/>
          <w:lang w:bidi="en-US"/>
        </w:rPr>
        <w:t>达成</w:t>
      </w:r>
      <w:r>
        <w:rPr>
          <w:rFonts w:hint="eastAsia" w:asciiTheme="minorEastAsia" w:hAnsiTheme="minorEastAsia" w:eastAsiaTheme="minorEastAsia"/>
          <w:bCs/>
          <w:sz w:val="24"/>
          <w:szCs w:val="24"/>
          <w:highlight w:val="none"/>
          <w:lang w:bidi="en-US"/>
        </w:rPr>
        <w:t>如下条款</w:t>
      </w:r>
      <w:r>
        <w:rPr>
          <w:rFonts w:asciiTheme="minorEastAsia" w:hAnsiTheme="minorEastAsia" w:eastAsiaTheme="minorEastAsia"/>
          <w:bCs/>
          <w:sz w:val="24"/>
          <w:szCs w:val="24"/>
          <w:highlight w:val="none"/>
          <w:lang w:bidi="en-US"/>
        </w:rPr>
        <w:t>，以资共同遵守。</w:t>
      </w:r>
    </w:p>
    <w:p w14:paraId="26730CDF">
      <w:pPr>
        <w:snapToGrid w:val="0"/>
        <w:spacing w:line="360" w:lineRule="auto"/>
        <w:ind w:firstLine="482" w:firstLineChars="200"/>
        <w:outlineLvl w:val="0"/>
        <w:rPr>
          <w:rFonts w:hint="eastAsia" w:asciiTheme="minorEastAsia" w:hAnsiTheme="minorEastAsia" w:eastAsiaTheme="minorEastAsia"/>
          <w:b/>
          <w:bCs/>
          <w:sz w:val="24"/>
          <w:szCs w:val="24"/>
          <w:highlight w:val="none"/>
          <w:lang w:bidi="en-US"/>
        </w:rPr>
      </w:pPr>
      <w:r>
        <w:rPr>
          <w:rFonts w:hint="eastAsia" w:asciiTheme="minorEastAsia" w:hAnsiTheme="minorEastAsia" w:eastAsiaTheme="minorEastAsia"/>
          <w:b/>
          <w:bCs/>
          <w:sz w:val="24"/>
          <w:szCs w:val="24"/>
          <w:highlight w:val="none"/>
          <w:lang w:bidi="en-US"/>
        </w:rPr>
        <w:t>一</w:t>
      </w:r>
      <w:r>
        <w:rPr>
          <w:rFonts w:asciiTheme="minorEastAsia" w:hAnsiTheme="minorEastAsia" w:eastAsiaTheme="minorEastAsia"/>
          <w:b/>
          <w:bCs/>
          <w:sz w:val="24"/>
          <w:szCs w:val="24"/>
          <w:highlight w:val="none"/>
          <w:lang w:bidi="en-US"/>
        </w:rPr>
        <w:t>、定义</w:t>
      </w:r>
    </w:p>
    <w:p w14:paraId="2F02B24F">
      <w:pPr>
        <w:snapToGrid w:val="0"/>
        <w:spacing w:line="360" w:lineRule="auto"/>
        <w:ind w:firstLine="480" w:firstLineChars="200"/>
        <w:rPr>
          <w:rFonts w:hint="eastAsia" w:asciiTheme="minorEastAsia" w:hAnsiTheme="minorEastAsia" w:eastAsiaTheme="minorEastAsia"/>
          <w:bCs/>
          <w:sz w:val="24"/>
          <w:szCs w:val="24"/>
          <w:highlight w:val="none"/>
          <w:lang w:bidi="en-US"/>
        </w:rPr>
      </w:pPr>
      <w:r>
        <w:rPr>
          <w:rFonts w:hint="eastAsia" w:asciiTheme="minorEastAsia" w:hAnsiTheme="minorEastAsia" w:eastAsiaTheme="minorEastAsia"/>
          <w:bCs/>
          <w:sz w:val="24"/>
          <w:szCs w:val="24"/>
          <w:highlight w:val="none"/>
          <w:lang w:bidi="en-US"/>
        </w:rPr>
        <w:t>1、</w:t>
      </w:r>
      <w:r>
        <w:rPr>
          <w:rFonts w:asciiTheme="minorEastAsia" w:hAnsiTheme="minorEastAsia" w:eastAsiaTheme="minorEastAsia"/>
          <w:bCs/>
          <w:sz w:val="24"/>
          <w:szCs w:val="24"/>
          <w:highlight w:val="none"/>
          <w:lang w:bidi="en-US"/>
        </w:rPr>
        <w:t>政</w:t>
      </w:r>
      <w:r>
        <w:rPr>
          <w:rFonts w:hint="eastAsia" w:asciiTheme="minorEastAsia" w:hAnsiTheme="minorEastAsia" w:eastAsiaTheme="minorEastAsia"/>
          <w:bCs/>
          <w:sz w:val="24"/>
          <w:szCs w:val="24"/>
          <w:highlight w:val="none"/>
          <w:lang w:bidi="en-US"/>
        </w:rPr>
        <w:t>采云</w:t>
      </w:r>
      <w:r>
        <w:rPr>
          <w:rFonts w:asciiTheme="minorEastAsia" w:hAnsiTheme="minorEastAsia" w:eastAsiaTheme="minorEastAsia"/>
          <w:bCs/>
          <w:sz w:val="24"/>
          <w:szCs w:val="24"/>
          <w:highlight w:val="none"/>
          <w:lang w:bidi="en-US"/>
        </w:rPr>
        <w:t>平台：</w:t>
      </w:r>
      <w:r>
        <w:rPr>
          <w:rFonts w:hint="eastAsia" w:asciiTheme="minorEastAsia" w:hAnsiTheme="minorEastAsia" w:eastAsiaTheme="minorEastAsia"/>
          <w:bCs/>
          <w:sz w:val="24"/>
          <w:szCs w:val="24"/>
          <w:highlight w:val="none"/>
          <w:lang w:bidi="en-US"/>
        </w:rPr>
        <w:t>指乙方开发、运营的政府采购云服务平台（域名为</w:t>
      </w:r>
      <w:r>
        <w:rPr>
          <w:rFonts w:asciiTheme="minorEastAsia" w:hAnsiTheme="minorEastAsia" w:eastAsiaTheme="minorEastAsia"/>
          <w:bCs/>
          <w:sz w:val="24"/>
          <w:szCs w:val="24"/>
          <w:highlight w:val="none"/>
          <w:lang w:bidi="en-US"/>
        </w:rPr>
        <w:t>zcygov.cn）</w:t>
      </w:r>
      <w:r>
        <w:rPr>
          <w:rFonts w:hint="eastAsia" w:asciiTheme="minorEastAsia" w:hAnsiTheme="minorEastAsia" w:eastAsiaTheme="minorEastAsia"/>
          <w:bCs/>
          <w:sz w:val="24"/>
          <w:szCs w:val="24"/>
          <w:highlight w:val="none"/>
          <w:lang w:bidi="en-US"/>
        </w:rPr>
        <w:t>。其以互联网为基础，充分运用云计算、大数据、移动互联技术，以政府采购电子化交易和管理为重点，是涉及政府采购各领域、全流程、多用户，集政府采购网上交易、监管和服务为一体的政府采购公共服务平台。</w:t>
      </w:r>
    </w:p>
    <w:p w14:paraId="093D061E">
      <w:pPr>
        <w:snapToGrid w:val="0"/>
        <w:spacing w:line="360" w:lineRule="auto"/>
        <w:ind w:firstLine="480" w:firstLineChars="200"/>
        <w:rPr>
          <w:rFonts w:hint="eastAsia" w:asciiTheme="minorEastAsia" w:hAnsiTheme="minorEastAsia" w:eastAsiaTheme="minorEastAsia"/>
          <w:bCs/>
          <w:sz w:val="24"/>
          <w:szCs w:val="24"/>
          <w:highlight w:val="none"/>
          <w:lang w:bidi="en-US"/>
        </w:rPr>
      </w:pPr>
      <w:r>
        <w:rPr>
          <w:rFonts w:hint="eastAsia" w:asciiTheme="minorEastAsia" w:hAnsiTheme="minorEastAsia" w:eastAsiaTheme="minorEastAsia"/>
          <w:bCs/>
          <w:sz w:val="24"/>
          <w:szCs w:val="24"/>
          <w:highlight w:val="none"/>
          <w:lang w:bidi="en-US"/>
        </w:rPr>
        <w:t>2、</w:t>
      </w:r>
      <w:r>
        <w:rPr>
          <w:rFonts w:asciiTheme="minorEastAsia" w:hAnsiTheme="minorEastAsia" w:eastAsiaTheme="minorEastAsia"/>
          <w:bCs/>
          <w:sz w:val="24"/>
          <w:szCs w:val="24"/>
          <w:highlight w:val="none"/>
          <w:lang w:bidi="en-US"/>
        </w:rPr>
        <w:t>电子卖场</w:t>
      </w:r>
      <w:r>
        <w:rPr>
          <w:rFonts w:hint="eastAsia" w:asciiTheme="minorEastAsia" w:hAnsiTheme="minorEastAsia" w:eastAsiaTheme="minorEastAsia"/>
          <w:bCs/>
          <w:sz w:val="24"/>
          <w:szCs w:val="24"/>
          <w:highlight w:val="none"/>
          <w:lang w:bidi="en-US"/>
        </w:rPr>
        <w:t>（网上商城）</w:t>
      </w:r>
      <w:r>
        <w:rPr>
          <w:rFonts w:asciiTheme="minorEastAsia" w:hAnsiTheme="minorEastAsia" w:eastAsiaTheme="minorEastAsia"/>
          <w:bCs/>
          <w:sz w:val="24"/>
          <w:szCs w:val="24"/>
          <w:highlight w:val="none"/>
          <w:lang w:bidi="en-US"/>
        </w:rPr>
        <w:t>：</w:t>
      </w:r>
      <w:r>
        <w:rPr>
          <w:rFonts w:hint="eastAsia" w:asciiTheme="minorEastAsia" w:hAnsiTheme="minorEastAsia" w:eastAsiaTheme="minorEastAsia"/>
          <w:bCs/>
          <w:sz w:val="24"/>
          <w:szCs w:val="24"/>
          <w:highlight w:val="none"/>
          <w:lang w:bidi="en-US"/>
        </w:rPr>
        <w:t>指采购人通过政采云平台以网上超市、在线询价、反向竞价、协议采购（批量竞价）、定点服务等方式进行采购交易活动的系统总称，包括网上超市系统、在线询价系统、反向竞价系统、协议供货+批量竞价系统、定点服务系统等。</w:t>
      </w:r>
    </w:p>
    <w:p w14:paraId="49B6E19C">
      <w:pPr>
        <w:snapToGrid w:val="0"/>
        <w:spacing w:line="360" w:lineRule="auto"/>
        <w:ind w:firstLine="480" w:firstLineChars="200"/>
        <w:rPr>
          <w:rFonts w:hint="eastAsia" w:asciiTheme="minorEastAsia" w:hAnsiTheme="minorEastAsia" w:eastAsiaTheme="minorEastAsia"/>
          <w:bCs/>
          <w:sz w:val="24"/>
          <w:szCs w:val="24"/>
          <w:highlight w:val="none"/>
          <w:lang w:bidi="en-US"/>
        </w:rPr>
      </w:pPr>
      <w:r>
        <w:rPr>
          <w:rFonts w:asciiTheme="minorEastAsia" w:hAnsiTheme="minorEastAsia" w:eastAsiaTheme="minorEastAsia"/>
          <w:bCs/>
          <w:sz w:val="24"/>
          <w:szCs w:val="24"/>
          <w:highlight w:val="none"/>
          <w:lang w:bidi="en-US"/>
        </w:rPr>
        <w:t>3</w:t>
      </w:r>
      <w:r>
        <w:rPr>
          <w:rFonts w:hint="eastAsia" w:asciiTheme="minorEastAsia" w:hAnsiTheme="minorEastAsia" w:eastAsiaTheme="minorEastAsia"/>
          <w:bCs/>
          <w:sz w:val="24"/>
          <w:szCs w:val="24"/>
          <w:highlight w:val="none"/>
          <w:lang w:bidi="en-US"/>
        </w:rPr>
        <w:t>、项目采购（电子招投标）：指根据政府采购计划，对公开招标、邀请招标、竞争性谈判、竞争性磋商、单一来源采购、询价采购等传统采购方式，并结合河北省“双盲”评审要求，通过委托采购代理机构或自行组织实施，融入现代信息技术，通过线上线下相结合的方式实现项目采购，自动记录相关信息并生成规范文档，促进其实现规范和效率双提升的系统。</w:t>
      </w:r>
    </w:p>
    <w:p w14:paraId="73D07BF0">
      <w:pPr>
        <w:snapToGrid w:val="0"/>
        <w:spacing w:line="360" w:lineRule="auto"/>
        <w:ind w:firstLine="480" w:firstLineChars="200"/>
        <w:rPr>
          <w:rFonts w:hint="eastAsia" w:asciiTheme="minorEastAsia" w:hAnsiTheme="minorEastAsia" w:eastAsiaTheme="minorEastAsia"/>
          <w:bCs/>
          <w:sz w:val="24"/>
          <w:szCs w:val="24"/>
          <w:highlight w:val="none"/>
          <w:lang w:bidi="en-US"/>
        </w:rPr>
      </w:pPr>
      <w:r>
        <w:rPr>
          <w:rFonts w:asciiTheme="minorEastAsia" w:hAnsiTheme="minorEastAsia" w:eastAsiaTheme="minorEastAsia"/>
          <w:bCs/>
          <w:sz w:val="24"/>
          <w:szCs w:val="24"/>
          <w:highlight w:val="none"/>
          <w:lang w:bidi="en-US"/>
        </w:rPr>
        <w:t>4</w:t>
      </w:r>
      <w:r>
        <w:rPr>
          <w:rFonts w:hint="eastAsia" w:asciiTheme="minorEastAsia" w:hAnsiTheme="minorEastAsia" w:eastAsiaTheme="minorEastAsia"/>
          <w:bCs/>
          <w:sz w:val="24"/>
          <w:szCs w:val="24"/>
          <w:highlight w:val="none"/>
          <w:lang w:bidi="en-US"/>
        </w:rPr>
        <w:t>、采购监管功能：指供应商库、评审专家库、代理机构库、采购单位库、采购计划、公告、诚信评价、预警监控、数据统计等采购监管功能。</w:t>
      </w:r>
    </w:p>
    <w:p w14:paraId="540D43BD">
      <w:pPr>
        <w:snapToGrid w:val="0"/>
        <w:spacing w:line="360" w:lineRule="auto"/>
        <w:ind w:firstLine="480" w:firstLineChars="200"/>
        <w:rPr>
          <w:rFonts w:hint="eastAsia" w:asciiTheme="minorEastAsia" w:hAnsiTheme="minorEastAsia" w:eastAsiaTheme="minorEastAsia"/>
          <w:bCs/>
          <w:sz w:val="24"/>
          <w:szCs w:val="24"/>
          <w:highlight w:val="none"/>
          <w:lang w:bidi="en-US"/>
        </w:rPr>
      </w:pPr>
      <w:r>
        <w:rPr>
          <w:rFonts w:asciiTheme="minorEastAsia" w:hAnsiTheme="minorEastAsia" w:eastAsiaTheme="minorEastAsia"/>
          <w:bCs/>
          <w:sz w:val="24"/>
          <w:szCs w:val="24"/>
          <w:highlight w:val="none"/>
          <w:lang w:bidi="en-US"/>
        </w:rPr>
        <w:t>5、</w:t>
      </w:r>
      <w:r>
        <w:rPr>
          <w:rFonts w:hint="eastAsia" w:asciiTheme="minorEastAsia" w:hAnsiTheme="minorEastAsia" w:eastAsiaTheme="minorEastAsia"/>
          <w:bCs/>
          <w:sz w:val="24"/>
          <w:szCs w:val="24"/>
          <w:highlight w:val="none"/>
          <w:lang w:bidi="en-US"/>
        </w:rPr>
        <w:t>基础功能：指权限管理、CA管理。</w:t>
      </w:r>
    </w:p>
    <w:p w14:paraId="1F05D1CC">
      <w:pPr>
        <w:snapToGrid w:val="0"/>
        <w:spacing w:line="360" w:lineRule="auto"/>
        <w:ind w:firstLine="480" w:firstLineChars="200"/>
        <w:rPr>
          <w:rFonts w:hint="eastAsia" w:asciiTheme="minorEastAsia" w:hAnsiTheme="minorEastAsia" w:eastAsiaTheme="minorEastAsia"/>
          <w:bCs/>
          <w:sz w:val="24"/>
          <w:szCs w:val="24"/>
          <w:highlight w:val="none"/>
          <w:lang w:bidi="en-US"/>
        </w:rPr>
      </w:pPr>
      <w:r>
        <w:rPr>
          <w:rFonts w:asciiTheme="minorEastAsia" w:hAnsiTheme="minorEastAsia" w:eastAsiaTheme="minorEastAsia"/>
          <w:bCs/>
          <w:sz w:val="24"/>
          <w:szCs w:val="24"/>
          <w:highlight w:val="none"/>
          <w:lang w:bidi="en-US"/>
        </w:rPr>
        <w:t>6、</w:t>
      </w:r>
      <w:r>
        <w:rPr>
          <w:rFonts w:hint="eastAsia" w:asciiTheme="minorEastAsia" w:hAnsiTheme="minorEastAsia" w:eastAsiaTheme="minorEastAsia"/>
          <w:bCs/>
          <w:sz w:val="24"/>
          <w:szCs w:val="24"/>
          <w:highlight w:val="none"/>
          <w:lang w:bidi="en-US"/>
        </w:rPr>
        <w:t>合同：指本合同以及与之相关的附件和补充规定。</w:t>
      </w:r>
    </w:p>
    <w:p w14:paraId="3841AF2C">
      <w:pPr>
        <w:snapToGrid w:val="0"/>
        <w:spacing w:line="360" w:lineRule="auto"/>
        <w:ind w:firstLine="480" w:firstLineChars="200"/>
        <w:rPr>
          <w:rFonts w:hint="eastAsia" w:asciiTheme="minorEastAsia" w:hAnsiTheme="minorEastAsia" w:eastAsiaTheme="minorEastAsia"/>
          <w:bCs/>
          <w:sz w:val="24"/>
          <w:szCs w:val="24"/>
          <w:highlight w:val="none"/>
          <w:lang w:bidi="en-US"/>
        </w:rPr>
      </w:pPr>
      <w:r>
        <w:rPr>
          <w:rFonts w:asciiTheme="minorEastAsia" w:hAnsiTheme="minorEastAsia" w:eastAsiaTheme="minorEastAsia"/>
          <w:bCs/>
          <w:sz w:val="24"/>
          <w:szCs w:val="24"/>
          <w:highlight w:val="none"/>
          <w:lang w:bidi="en-US"/>
        </w:rPr>
        <w:t>7</w:t>
      </w:r>
      <w:r>
        <w:rPr>
          <w:rFonts w:hint="eastAsia" w:asciiTheme="minorEastAsia" w:hAnsiTheme="minorEastAsia" w:eastAsiaTheme="minorEastAsia"/>
          <w:bCs/>
          <w:sz w:val="24"/>
          <w:szCs w:val="24"/>
          <w:highlight w:val="none"/>
          <w:lang w:bidi="en-US"/>
        </w:rPr>
        <w:t>、日、月、年：指公历的日、月、年；除特别指明外，日指日历日，月指自然月。</w:t>
      </w:r>
    </w:p>
    <w:p w14:paraId="321A992A">
      <w:pPr>
        <w:snapToGrid w:val="0"/>
        <w:spacing w:line="360" w:lineRule="auto"/>
        <w:ind w:firstLine="482" w:firstLineChars="200"/>
        <w:outlineLvl w:val="0"/>
        <w:rPr>
          <w:rFonts w:hint="eastAsia" w:ascii="宋体" w:hAnsi="宋体"/>
          <w:b/>
          <w:sz w:val="24"/>
          <w:szCs w:val="24"/>
          <w:highlight w:val="none"/>
        </w:rPr>
      </w:pPr>
      <w:r>
        <w:rPr>
          <w:rFonts w:hint="eastAsia" w:ascii="宋体" w:hAnsi="宋体"/>
          <w:b/>
          <w:sz w:val="24"/>
          <w:szCs w:val="24"/>
          <w:highlight w:val="none"/>
        </w:rPr>
        <w:t>二、合同文件构成及优先顺序</w:t>
      </w:r>
    </w:p>
    <w:p w14:paraId="6FF9A34E">
      <w:pPr>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sz w:val="24"/>
          <w:szCs w:val="24"/>
          <w:highlight w:val="none"/>
        </w:rPr>
        <w:t>本合同与下列文件（如有）一起构成合同文</w:t>
      </w:r>
      <w:r>
        <w:rPr>
          <w:rFonts w:hint="eastAsia" w:ascii="宋体" w:hAnsi="宋体"/>
          <w:color w:val="000000" w:themeColor="text1"/>
          <w:sz w:val="24"/>
          <w:szCs w:val="24"/>
          <w:highlight w:val="none"/>
          <w14:textFill>
            <w14:solidFill>
              <w14:schemeClr w14:val="tx1"/>
            </w14:solidFill>
          </w14:textFill>
        </w:rPr>
        <w:t>件，各项文件应互相解释、互为说明，如各项文件之间约定不一致的，按照下述顺序予以解释：</w:t>
      </w:r>
    </w:p>
    <w:p w14:paraId="3AA416D0">
      <w:pPr>
        <w:numPr>
          <w:ilvl w:val="0"/>
          <w:numId w:val="1"/>
        </w:numPr>
        <w:snapToGrid w:val="0"/>
        <w:spacing w:line="360" w:lineRule="auto"/>
        <w:rPr>
          <w:rFonts w:hint="eastAsia" w:ascii="宋体" w:hAnsi="宋体"/>
          <w:sz w:val="24"/>
          <w:szCs w:val="24"/>
          <w:highlight w:val="none"/>
        </w:rPr>
      </w:pPr>
      <w:r>
        <w:rPr>
          <w:rFonts w:hint="eastAsia" w:ascii="宋体" w:hAnsi="宋体"/>
          <w:sz w:val="24"/>
          <w:szCs w:val="24"/>
          <w:highlight w:val="none"/>
        </w:rPr>
        <w:t>合同履行过程中双方签署的变更或补充协议（如有）；</w:t>
      </w:r>
    </w:p>
    <w:p w14:paraId="76A3EDF0">
      <w:pPr>
        <w:numPr>
          <w:ilvl w:val="0"/>
          <w:numId w:val="1"/>
        </w:numPr>
        <w:snapToGrid w:val="0"/>
        <w:spacing w:line="360" w:lineRule="auto"/>
        <w:rPr>
          <w:rFonts w:hint="eastAsia" w:ascii="宋体" w:hAnsi="宋体"/>
          <w:sz w:val="24"/>
          <w:szCs w:val="24"/>
          <w:highlight w:val="none"/>
        </w:rPr>
      </w:pPr>
      <w:r>
        <w:rPr>
          <w:rFonts w:hint="eastAsia" w:ascii="宋体" w:hAnsi="宋体"/>
          <w:sz w:val="24"/>
          <w:szCs w:val="24"/>
          <w:highlight w:val="none"/>
        </w:rPr>
        <w:t>本合同及相关附件；</w:t>
      </w:r>
    </w:p>
    <w:p w14:paraId="74E4517E">
      <w:pPr>
        <w:numPr>
          <w:ilvl w:val="0"/>
          <w:numId w:val="1"/>
        </w:numPr>
        <w:snapToGrid w:val="0"/>
        <w:spacing w:line="360" w:lineRule="auto"/>
        <w:rPr>
          <w:rFonts w:hint="eastAsia" w:ascii="宋体" w:hAnsi="宋体"/>
          <w:sz w:val="24"/>
          <w:szCs w:val="24"/>
          <w:highlight w:val="none"/>
        </w:rPr>
      </w:pPr>
      <w:r>
        <w:rPr>
          <w:rFonts w:hint="eastAsia" w:ascii="宋体" w:hAnsi="宋体"/>
          <w:sz w:val="24"/>
          <w:szCs w:val="24"/>
          <w:highlight w:val="none"/>
        </w:rPr>
        <w:t>成交通知书；</w:t>
      </w:r>
    </w:p>
    <w:p w14:paraId="1A0D0A5E">
      <w:pPr>
        <w:numPr>
          <w:ilvl w:val="0"/>
          <w:numId w:val="1"/>
        </w:numPr>
        <w:snapToGrid w:val="0"/>
        <w:spacing w:line="360" w:lineRule="auto"/>
        <w:rPr>
          <w:rFonts w:hint="eastAsia" w:ascii="宋体" w:hAnsi="宋体"/>
          <w:sz w:val="24"/>
          <w:szCs w:val="24"/>
          <w:highlight w:val="none"/>
        </w:rPr>
      </w:pPr>
      <w:r>
        <w:rPr>
          <w:rFonts w:hint="eastAsia" w:ascii="宋体" w:hAnsi="宋体"/>
          <w:sz w:val="24"/>
          <w:szCs w:val="24"/>
          <w:highlight w:val="none"/>
        </w:rPr>
        <w:t>乙方提交的响应文件；</w:t>
      </w:r>
    </w:p>
    <w:p w14:paraId="75B92F82">
      <w:pPr>
        <w:numPr>
          <w:ilvl w:val="0"/>
          <w:numId w:val="1"/>
        </w:numPr>
        <w:snapToGrid w:val="0"/>
        <w:spacing w:line="360" w:lineRule="auto"/>
        <w:rPr>
          <w:rFonts w:hint="eastAsia" w:ascii="宋体" w:hAnsi="宋体"/>
          <w:sz w:val="24"/>
          <w:szCs w:val="24"/>
          <w:highlight w:val="none"/>
        </w:rPr>
      </w:pPr>
      <w:r>
        <w:rPr>
          <w:rFonts w:hint="eastAsia" w:ascii="宋体" w:hAnsi="宋体"/>
          <w:color w:val="000000"/>
          <w:sz w:val="24"/>
          <w:szCs w:val="24"/>
          <w:highlight w:val="none"/>
        </w:rPr>
        <w:t>采购</w:t>
      </w:r>
      <w:r>
        <w:rPr>
          <w:rFonts w:ascii="宋体" w:hAnsi="宋体"/>
          <w:color w:val="000000"/>
          <w:sz w:val="24"/>
          <w:szCs w:val="24"/>
          <w:highlight w:val="none"/>
        </w:rPr>
        <w:t>文件；</w:t>
      </w:r>
    </w:p>
    <w:p w14:paraId="7BE1E35D">
      <w:pPr>
        <w:numPr>
          <w:ilvl w:val="0"/>
          <w:numId w:val="1"/>
        </w:numPr>
        <w:snapToGrid w:val="0"/>
        <w:spacing w:line="360" w:lineRule="auto"/>
        <w:rPr>
          <w:rFonts w:hint="eastAsia" w:ascii="宋体" w:hAnsi="宋体"/>
          <w:sz w:val="24"/>
          <w:szCs w:val="24"/>
          <w:highlight w:val="none"/>
        </w:rPr>
      </w:pPr>
      <w:r>
        <w:rPr>
          <w:rFonts w:hint="eastAsia" w:ascii="宋体" w:hAnsi="宋体"/>
          <w:sz w:val="24"/>
          <w:szCs w:val="24"/>
          <w:highlight w:val="none"/>
        </w:rPr>
        <w:t>其他合同文件。</w:t>
      </w:r>
    </w:p>
    <w:p w14:paraId="5D594398">
      <w:pPr>
        <w:snapToGrid w:val="0"/>
        <w:spacing w:line="360" w:lineRule="auto"/>
        <w:ind w:firstLine="482" w:firstLineChars="200"/>
        <w:outlineLvl w:val="0"/>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三</w:t>
      </w:r>
      <w:r>
        <w:rPr>
          <w:rFonts w:asciiTheme="minorEastAsia" w:hAnsiTheme="minorEastAsia" w:eastAsiaTheme="minorEastAsia"/>
          <w:b/>
          <w:bCs/>
          <w:color w:val="000000" w:themeColor="text1"/>
          <w:sz w:val="24"/>
          <w:szCs w:val="24"/>
          <w:highlight w:val="none"/>
          <w:lang w:bidi="en-US"/>
          <w14:textFill>
            <w14:solidFill>
              <w14:schemeClr w14:val="tx1"/>
            </w14:solidFill>
          </w14:textFill>
        </w:rPr>
        <w:t>、服务内容</w:t>
      </w: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与</w:t>
      </w:r>
      <w:r>
        <w:rPr>
          <w:rFonts w:asciiTheme="minorEastAsia" w:hAnsiTheme="minorEastAsia" w:eastAsiaTheme="minorEastAsia"/>
          <w:b/>
          <w:bCs/>
          <w:color w:val="000000" w:themeColor="text1"/>
          <w:sz w:val="24"/>
          <w:szCs w:val="24"/>
          <w:highlight w:val="none"/>
          <w:lang w:bidi="en-US"/>
          <w14:textFill>
            <w14:solidFill>
              <w14:schemeClr w14:val="tx1"/>
            </w14:solidFill>
          </w14:textFill>
        </w:rPr>
        <w:t>范围</w:t>
      </w:r>
    </w:p>
    <w:p w14:paraId="12E09C95">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1、</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甲方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在本合同服务期限内</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向乙方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购买</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下列</w:t>
      </w:r>
      <w:r>
        <w:rPr>
          <w:rFonts w:asciiTheme="minorEastAsia" w:hAnsiTheme="minorEastAsia" w:eastAsiaTheme="minorEastAsia"/>
          <w:bCs/>
          <w:color w:val="000000" w:themeColor="text1"/>
          <w:sz w:val="24"/>
          <w:szCs w:val="24"/>
          <w:highlight w:val="none"/>
          <w:u w:val="single"/>
          <w:lang w:bidi="en-US"/>
          <w14:textFill>
            <w14:solidFill>
              <w14:schemeClr w14:val="tx1"/>
            </w14:solidFill>
          </w14:textFill>
        </w:rPr>
        <w:t>a、b、c</w:t>
      </w:r>
      <w:r>
        <w:rPr>
          <w:rFonts w:hint="eastAsia" w:asciiTheme="minorEastAsia" w:hAnsiTheme="minorEastAsia" w:eastAsiaTheme="minorEastAsia"/>
          <w:bCs/>
          <w:color w:val="000000" w:themeColor="text1"/>
          <w:sz w:val="24"/>
          <w:szCs w:val="24"/>
          <w:highlight w:val="none"/>
          <w:u w:val="singl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u w:val="single"/>
          <w:lang w:bidi="en-US"/>
          <w14:textFill>
            <w14:solidFill>
              <w14:schemeClr w14:val="tx1"/>
            </w14:solidFill>
          </w14:textFill>
        </w:rPr>
        <w:t>d</w:t>
      </w:r>
      <w:r>
        <w:rPr>
          <w:rFonts w:hint="eastAsia" w:asciiTheme="minorEastAsia" w:hAnsiTheme="minorEastAsia" w:eastAsiaTheme="minorEastAsia"/>
          <w:bCs/>
          <w:color w:val="000000" w:themeColor="text1"/>
          <w:sz w:val="24"/>
          <w:szCs w:val="24"/>
          <w:highlight w:val="none"/>
          <w:u w:val="single"/>
          <w:lang w:bidi="en-US"/>
          <w14:textFill>
            <w14:solidFill>
              <w14:schemeClr w14:val="tx1"/>
            </w14:solidFill>
          </w14:textFill>
        </w:rPr>
        <w:t>、e、f、g、h项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产品使用权及相关技术运维服务，具体服务内容：：</w:t>
      </w:r>
    </w:p>
    <w:p w14:paraId="3B61AEAA">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a</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电子</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卖场：√网上</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 xml:space="preserve">超市  </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√在线</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 xml:space="preserve">询价   </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√反向竞价</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 xml:space="preserve">  </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服务</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市场（定点服务）（请</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在</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相应类别前打“√”）</w:t>
      </w:r>
    </w:p>
    <w:p w14:paraId="2F72A5C6">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b</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.项目采购（</w:t>
      </w:r>
      <w:r>
        <w:rPr>
          <w:rFonts w:hint="eastAsia" w:asciiTheme="minorEastAsia" w:hAnsiTheme="minorEastAsia" w:eastAsiaTheme="minorEastAsia"/>
          <w:b/>
          <w:color w:val="000000" w:themeColor="text1"/>
          <w:sz w:val="24"/>
          <w:szCs w:val="24"/>
          <w:highlight w:val="none"/>
          <w:lang w:bidi="en-US"/>
          <w14:textFill>
            <w14:solidFill>
              <w14:schemeClr w14:val="tx1"/>
            </w14:solidFill>
          </w14:textFill>
        </w:rPr>
        <w:t>全流程电子招投标模式+河北省“双盲”评审要求功能</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p>
    <w:p w14:paraId="5B6D2387">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c</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.采购监管功能</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√供应商</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 xml:space="preserve">库  </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√评审专家库</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 xml:space="preserve">  √</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代理机构库</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 xml:space="preserve">  </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√采购单位库</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 xml:space="preserve">  √</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采购计划</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 xml:space="preserve">  </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√公告</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 xml:space="preserve">  </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√诚信评价</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 xml:space="preserve"> </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（请在相应类别前打“√”）</w:t>
      </w:r>
    </w:p>
    <w:p w14:paraId="024F7273">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d</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.基础功能：√权限管理</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 xml:space="preserve">  </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CA管理</w:t>
      </w:r>
    </w:p>
    <w:p w14:paraId="3C7A89BD">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e.框架协议（</w:t>
      </w:r>
      <w:r>
        <w:rPr>
          <w:rFonts w:hint="eastAsia" w:asciiTheme="minorEastAsia" w:hAnsiTheme="minorEastAsia" w:eastAsiaTheme="minorEastAsia"/>
          <w:b/>
          <w:color w:val="000000" w:themeColor="text1"/>
          <w:sz w:val="24"/>
          <w:szCs w:val="24"/>
          <w:highlight w:val="none"/>
          <w:lang w:bidi="en-US"/>
          <w14:textFill>
            <w14:solidFill>
              <w14:schemeClr w14:val="tx1"/>
            </w14:solidFill>
          </w14:textFill>
        </w:rPr>
        <w:t>河北省“双盲”评审要求功能</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p>
    <w:p w14:paraId="3E566549">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f.电子归档系统（提供给雄安新区公共资源交易中心使用）</w:t>
      </w:r>
    </w:p>
    <w:p w14:paraId="0AF645D1">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g.场地管理系统（提供给雄安新区公共资源交易中心使用）</w:t>
      </w:r>
    </w:p>
    <w:p w14:paraId="3A56AC5B">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h.合作创新采购方式</w:t>
      </w:r>
    </w:p>
    <w:p w14:paraId="05898ADF">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2、甲方认可并接受乙方所提供的产品功能，</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乙方将不定期进行</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系统</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优化及升级。若</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甲方需要</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乙方提供其他</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服务</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差异化需求</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服务的</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双方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应</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另行签署协议</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进行</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约定。</w:t>
      </w:r>
    </w:p>
    <w:p w14:paraId="78DBFF8F">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u w:val="singl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3、服务范围：</w:t>
      </w:r>
      <w:r>
        <w:rPr>
          <w:rFonts w:hint="eastAsia" w:asciiTheme="minorEastAsia" w:hAnsiTheme="minorEastAsia" w:eastAsiaTheme="minorEastAsia"/>
          <w:bCs/>
          <w:color w:val="000000" w:themeColor="text1"/>
          <w:sz w:val="24"/>
          <w:szCs w:val="24"/>
          <w:highlight w:val="none"/>
          <w:u w:val="single"/>
          <w:lang w:bidi="en-US"/>
          <w14:textFill>
            <w14:solidFill>
              <w14:schemeClr w14:val="tx1"/>
            </w14:solidFill>
          </w14:textFill>
        </w:rPr>
        <w:t xml:space="preserve"> </w:t>
      </w:r>
      <w:r>
        <w:rPr>
          <w:rFonts w:asciiTheme="minorEastAsia" w:hAnsiTheme="minorEastAsia" w:eastAsiaTheme="minorEastAsia"/>
          <w:bCs/>
          <w:color w:val="000000" w:themeColor="text1"/>
          <w:sz w:val="24"/>
          <w:szCs w:val="24"/>
          <w:highlight w:val="none"/>
          <w:u w:val="single"/>
          <w:lang w:bidi="en-US"/>
          <w14:textFill>
            <w14:solidFill>
              <w14:schemeClr w14:val="tx1"/>
            </w14:solidFill>
          </w14:textFill>
        </w:rPr>
        <w:t xml:space="preserve">       </w:t>
      </w:r>
    </w:p>
    <w:p w14:paraId="31BCB46E">
      <w:pPr>
        <w:snapToGrid w:val="0"/>
        <w:spacing w:line="360" w:lineRule="auto"/>
        <w:ind w:firstLine="482" w:firstLineChars="200"/>
        <w:outlineLvl w:val="0"/>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四</w:t>
      </w:r>
      <w:r>
        <w:rPr>
          <w:rFonts w:asciiTheme="minorEastAsia" w:hAnsiTheme="minorEastAsia" w:eastAsiaTheme="minorEastAsia"/>
          <w:b/>
          <w:bCs/>
          <w:color w:val="000000" w:themeColor="text1"/>
          <w:sz w:val="24"/>
          <w:szCs w:val="24"/>
          <w:highlight w:val="none"/>
          <w:lang w:bidi="en-US"/>
          <w14:textFill>
            <w14:solidFill>
              <w14:schemeClr w14:val="tx1"/>
            </w14:solidFill>
          </w14:textFill>
        </w:rPr>
        <w:t>、</w:t>
      </w: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服务</w:t>
      </w:r>
      <w:r>
        <w:rPr>
          <w:rFonts w:asciiTheme="minorEastAsia" w:hAnsiTheme="minorEastAsia" w:eastAsiaTheme="minorEastAsia"/>
          <w:b/>
          <w:bCs/>
          <w:color w:val="000000" w:themeColor="text1"/>
          <w:sz w:val="24"/>
          <w:szCs w:val="24"/>
          <w:highlight w:val="none"/>
          <w:lang w:bidi="en-US"/>
          <w14:textFill>
            <w14:solidFill>
              <w14:schemeClr w14:val="tx1"/>
            </w14:solidFill>
          </w14:textFill>
        </w:rPr>
        <w:t>期限</w:t>
      </w:r>
    </w:p>
    <w:p w14:paraId="759C90C3">
      <w:pPr>
        <w:snapToGrid w:val="0"/>
        <w:spacing w:line="360" w:lineRule="auto"/>
        <w:ind w:firstLine="480" w:firstLineChars="200"/>
        <w:outlineLvl w:val="0"/>
        <w:rPr>
          <w:rFonts w:hint="eastAsia" w:asciiTheme="minorEastAsia" w:hAnsiTheme="minorEastAsia" w:eastAsiaTheme="minorEastAsia"/>
          <w:bCs/>
          <w:color w:val="000000" w:themeColor="text1"/>
          <w:sz w:val="24"/>
          <w:szCs w:val="24"/>
          <w:highlight w:val="none"/>
          <w:u w:val="singl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本合同服务期限为</w:t>
      </w:r>
      <w:r>
        <w:rPr>
          <w:rFonts w:hint="eastAsia" w:asciiTheme="minorEastAsia" w:hAnsiTheme="minorEastAsia" w:eastAsiaTheme="minorEastAsia"/>
          <w:bCs/>
          <w:color w:val="000000" w:themeColor="text1"/>
          <w:sz w:val="24"/>
          <w:szCs w:val="24"/>
          <w:highlight w:val="none"/>
          <w:u w:val="single"/>
          <w:lang w:bidi="en-US"/>
          <w14:textFill>
            <w14:solidFill>
              <w14:schemeClr w14:val="tx1"/>
            </w14:solidFill>
          </w14:textFill>
        </w:rPr>
        <w:t>3</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年，自</w:t>
      </w:r>
      <w:r>
        <w:rPr>
          <w:rFonts w:hint="eastAsia" w:asciiTheme="minorEastAsia" w:hAnsiTheme="minorEastAsia" w:eastAsiaTheme="minorEastAsia"/>
          <w:b/>
          <w:color w:val="000000" w:themeColor="text1"/>
          <w:sz w:val="24"/>
          <w:szCs w:val="24"/>
          <w:highlight w:val="none"/>
          <w:u w:val="single"/>
          <w:lang w:bidi="en-US"/>
          <w14:textFill>
            <w14:solidFill>
              <w14:schemeClr w14:val="tx1"/>
            </w14:solidFill>
          </w14:textFill>
        </w:rPr>
        <w:t>X</w:t>
      </w:r>
      <w:r>
        <w:rPr>
          <w:rFonts w:asciiTheme="minorEastAsia" w:hAnsiTheme="minorEastAsia" w:eastAsiaTheme="minorEastAsia"/>
          <w:b/>
          <w:color w:val="000000" w:themeColor="text1"/>
          <w:sz w:val="24"/>
          <w:szCs w:val="24"/>
          <w:highlight w:val="none"/>
          <w:u w:val="single"/>
          <w:lang w:bidi="en-US"/>
          <w14:textFill>
            <w14:solidFill>
              <w14:schemeClr w14:val="tx1"/>
            </w14:solidFill>
          </w14:textFill>
        </w:rPr>
        <w:t>XX</w:t>
      </w:r>
      <w:r>
        <w:rPr>
          <w:rFonts w:hint="eastAsia" w:asciiTheme="minorEastAsia" w:hAnsiTheme="minorEastAsia" w:eastAsiaTheme="minorEastAsia"/>
          <w:b/>
          <w:color w:val="000000" w:themeColor="text1"/>
          <w:sz w:val="24"/>
          <w:szCs w:val="24"/>
          <w:highlight w:val="none"/>
          <w:u w:val="single"/>
          <w:lang w:bidi="en-US"/>
          <w14:textFill>
            <w14:solidFill>
              <w14:schemeClr w14:val="tx1"/>
            </w14:solidFill>
          </w14:textFill>
        </w:rPr>
        <w:t>X</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年</w:t>
      </w:r>
      <w:r>
        <w:rPr>
          <w:rFonts w:hint="eastAsia" w:asciiTheme="minorEastAsia" w:hAnsiTheme="minorEastAsia" w:eastAsiaTheme="minorEastAsia"/>
          <w:b/>
          <w:color w:val="000000" w:themeColor="text1"/>
          <w:sz w:val="24"/>
          <w:szCs w:val="24"/>
          <w:highlight w:val="none"/>
          <w:u w:val="single"/>
          <w:lang w:bidi="en-US"/>
          <w14:textFill>
            <w14:solidFill>
              <w14:schemeClr w14:val="tx1"/>
            </w14:solidFill>
          </w14:textFill>
        </w:rPr>
        <w:t>X</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月</w:t>
      </w:r>
      <w:r>
        <w:rPr>
          <w:rFonts w:hint="eastAsia" w:asciiTheme="minorEastAsia" w:hAnsiTheme="minorEastAsia" w:eastAsiaTheme="minorEastAsia"/>
          <w:b/>
          <w:color w:val="000000" w:themeColor="text1"/>
          <w:sz w:val="24"/>
          <w:szCs w:val="24"/>
          <w:highlight w:val="none"/>
          <w:u w:val="single"/>
          <w:lang w:bidi="en-US"/>
          <w14:textFill>
            <w14:solidFill>
              <w14:schemeClr w14:val="tx1"/>
            </w14:solidFill>
          </w14:textFill>
        </w:rPr>
        <w:t>X</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日起至</w:t>
      </w:r>
      <w:r>
        <w:rPr>
          <w:rFonts w:hint="eastAsia" w:asciiTheme="minorEastAsia" w:hAnsiTheme="minorEastAsia" w:eastAsiaTheme="minorEastAsia"/>
          <w:b/>
          <w:color w:val="000000" w:themeColor="text1"/>
          <w:sz w:val="24"/>
          <w:szCs w:val="24"/>
          <w:highlight w:val="none"/>
          <w:u w:val="single"/>
          <w:lang w:bidi="en-US"/>
          <w14:textFill>
            <w14:solidFill>
              <w14:schemeClr w14:val="tx1"/>
            </w14:solidFill>
          </w14:textFill>
        </w:rPr>
        <w:t>XXXX</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年</w:t>
      </w:r>
      <w:r>
        <w:rPr>
          <w:rFonts w:hint="eastAsia" w:asciiTheme="minorEastAsia" w:hAnsiTheme="minorEastAsia" w:eastAsiaTheme="minorEastAsia"/>
          <w:b/>
          <w:color w:val="000000" w:themeColor="text1"/>
          <w:sz w:val="24"/>
          <w:szCs w:val="24"/>
          <w:highlight w:val="none"/>
          <w:u w:val="single"/>
          <w:lang w:bidi="en-US"/>
          <w14:textFill>
            <w14:solidFill>
              <w14:schemeClr w14:val="tx1"/>
            </w14:solidFill>
          </w14:textFill>
        </w:rPr>
        <w:t>X</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月</w:t>
      </w:r>
      <w:r>
        <w:rPr>
          <w:rFonts w:hint="eastAsia" w:asciiTheme="minorEastAsia" w:hAnsiTheme="minorEastAsia" w:eastAsiaTheme="minorEastAsia"/>
          <w:b/>
          <w:color w:val="000000" w:themeColor="text1"/>
          <w:sz w:val="24"/>
          <w:szCs w:val="24"/>
          <w:highlight w:val="none"/>
          <w:u w:val="single"/>
          <w:lang w:bidi="en-US"/>
          <w14:textFill>
            <w14:solidFill>
              <w14:schemeClr w14:val="tx1"/>
            </w14:solidFill>
          </w14:textFill>
        </w:rPr>
        <w:t>X</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日止。</w:t>
      </w:r>
      <w:r>
        <w:rPr>
          <w:rFonts w:hint="eastAsia" w:asciiTheme="minorEastAsia" w:hAnsiTheme="minorEastAsia" w:eastAsiaTheme="minorEastAsia"/>
          <w:bCs/>
          <w:color w:val="000000" w:themeColor="text1"/>
          <w:sz w:val="24"/>
          <w:szCs w:val="24"/>
          <w:highlight w:val="none"/>
          <w:u w:val="single"/>
          <w:lang w:bidi="en-US"/>
          <w14:textFill>
            <w14:solidFill>
              <w14:schemeClr w14:val="tx1"/>
            </w14:solidFill>
          </w14:textFill>
        </w:rPr>
        <w:t>合作创新采购方式在2025年7月1日前完成上线，2025年提供免费试用，自2026年X月X日起开始收费。</w:t>
      </w:r>
    </w:p>
    <w:p w14:paraId="2B1CB172">
      <w:pPr>
        <w:snapToGrid w:val="0"/>
        <w:spacing w:line="360" w:lineRule="auto"/>
        <w:ind w:firstLine="482" w:firstLineChars="200"/>
        <w:outlineLvl w:val="0"/>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五、</w:t>
      </w:r>
      <w:r>
        <w:rPr>
          <w:rFonts w:asciiTheme="minorEastAsia" w:hAnsiTheme="minorEastAsia" w:eastAsiaTheme="minorEastAsia"/>
          <w:b/>
          <w:bCs/>
          <w:color w:val="000000" w:themeColor="text1"/>
          <w:sz w:val="24"/>
          <w:szCs w:val="24"/>
          <w:highlight w:val="none"/>
          <w:lang w:bidi="en-US"/>
          <w14:textFill>
            <w14:solidFill>
              <w14:schemeClr w14:val="tx1"/>
            </w14:solidFill>
          </w14:textFill>
        </w:rPr>
        <w:t>费用</w:t>
      </w: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及</w:t>
      </w:r>
      <w:r>
        <w:rPr>
          <w:rFonts w:asciiTheme="minorEastAsia" w:hAnsiTheme="minorEastAsia" w:eastAsiaTheme="minorEastAsia"/>
          <w:b/>
          <w:bCs/>
          <w:color w:val="000000" w:themeColor="text1"/>
          <w:sz w:val="24"/>
          <w:szCs w:val="24"/>
          <w:highlight w:val="none"/>
          <w:lang w:bidi="en-US"/>
          <w14:textFill>
            <w14:solidFill>
              <w14:schemeClr w14:val="tx1"/>
            </w14:solidFill>
          </w14:textFill>
        </w:rPr>
        <w:t>支付</w:t>
      </w:r>
    </w:p>
    <w:p w14:paraId="51DD5293">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1</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、本合同服务费用为人民币（大写）</w:t>
      </w:r>
      <w:r>
        <w:rPr>
          <w:rFonts w:hint="eastAsia" w:asciiTheme="minorEastAsia" w:hAnsiTheme="minorEastAsia" w:eastAsiaTheme="minorEastAsia"/>
          <w:bCs/>
          <w:color w:val="000000" w:themeColor="text1"/>
          <w:sz w:val="24"/>
          <w:szCs w:val="24"/>
          <w:highlight w:val="none"/>
          <w:u w:val="single"/>
          <w:lang w:bidi="en-US"/>
          <w14:textFill>
            <w14:solidFill>
              <w14:schemeClr w14:val="tx1"/>
            </w14:solidFill>
          </w14:textFill>
        </w:rPr>
        <w:t xml:space="preserve">  XXXXXX  </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元/年（￥</w:t>
      </w:r>
      <w:r>
        <w:rPr>
          <w:rFonts w:hint="eastAsia" w:asciiTheme="minorEastAsia" w:hAnsiTheme="minorEastAsia" w:eastAsiaTheme="minorEastAsia"/>
          <w:bCs/>
          <w:color w:val="000000" w:themeColor="text1"/>
          <w:sz w:val="24"/>
          <w:szCs w:val="24"/>
          <w:highlight w:val="none"/>
          <w:u w:val="single"/>
          <w:lang w:bidi="en-US"/>
          <w14:textFill>
            <w14:solidFill>
              <w14:schemeClr w14:val="tx1"/>
            </w14:solidFill>
          </w14:textFill>
        </w:rPr>
        <w:t>XXX</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万元/年），合计为人民币（大写）</w:t>
      </w:r>
      <w:r>
        <w:rPr>
          <w:rFonts w:hint="eastAsia" w:asciiTheme="minorEastAsia" w:hAnsiTheme="minorEastAsia" w:eastAsiaTheme="minorEastAsia"/>
          <w:bCs/>
          <w:color w:val="000000" w:themeColor="text1"/>
          <w:sz w:val="24"/>
          <w:szCs w:val="24"/>
          <w:highlight w:val="none"/>
          <w:u w:val="single"/>
          <w:lang w:bidi="en-US"/>
          <w14:textFill>
            <w14:solidFill>
              <w14:schemeClr w14:val="tx1"/>
            </w14:solidFill>
          </w14:textFill>
        </w:rPr>
        <w:t>XXXXXXX</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元（￥</w:t>
      </w:r>
      <w:r>
        <w:rPr>
          <w:rFonts w:hint="eastAsia" w:asciiTheme="minorEastAsia" w:hAnsiTheme="minorEastAsia" w:eastAsiaTheme="minorEastAsia"/>
          <w:bCs/>
          <w:color w:val="000000" w:themeColor="text1"/>
          <w:sz w:val="24"/>
          <w:szCs w:val="24"/>
          <w:highlight w:val="none"/>
          <w:u w:val="single"/>
          <w:lang w:bidi="en-US"/>
          <w14:textFill>
            <w14:solidFill>
              <w14:schemeClr w14:val="tx1"/>
            </w14:solidFill>
          </w14:textFill>
        </w:rPr>
        <w:t xml:space="preserve"> XXX</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万元）（含税）。</w:t>
      </w:r>
    </w:p>
    <w:p w14:paraId="187F7506">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 xml:space="preserve">以上服务费用自 </w:t>
      </w:r>
      <w:r>
        <w:rPr>
          <w:rFonts w:hint="eastAsia" w:asciiTheme="minorEastAsia" w:hAnsiTheme="minorEastAsia" w:eastAsiaTheme="minorEastAsia"/>
          <w:bCs/>
          <w:color w:val="000000" w:themeColor="text1"/>
          <w:sz w:val="24"/>
          <w:szCs w:val="24"/>
          <w:highlight w:val="none"/>
          <w:u w:val="single"/>
          <w:lang w:bidi="en-US"/>
          <w14:textFill>
            <w14:solidFill>
              <w14:schemeClr w14:val="tx1"/>
            </w14:solidFill>
          </w14:textFill>
        </w:rPr>
        <w:t>XXXX年X月X日</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起算。</w:t>
      </w:r>
    </w:p>
    <w:p w14:paraId="50BFA26C">
      <w:pPr>
        <w:snapToGrid w:val="0"/>
        <w:spacing w:line="360" w:lineRule="auto"/>
        <w:ind w:firstLine="480" w:firstLineChars="200"/>
        <w:rPr>
          <w:rFonts w:hint="eastAsia" w:ascii="宋体" w:hAnsi="宋体"/>
          <w:bCs/>
          <w:sz w:val="24"/>
          <w:szCs w:val="24"/>
          <w:highlight w:val="none"/>
          <w:lang w:bidi="en-US"/>
        </w:rPr>
      </w:pPr>
      <w:r>
        <w:rPr>
          <w:rFonts w:hint="eastAsia" w:ascii="宋体" w:hAnsi="宋体"/>
          <w:bCs/>
          <w:sz w:val="24"/>
          <w:szCs w:val="24"/>
          <w:highlight w:val="none"/>
          <w:lang w:bidi="en-US"/>
        </w:rPr>
        <w:t>2.乙方根据甲方业务量评估所需云资源清单并提供给甲方，甲方另行申报雄安新区本地化部署所需的云资源和服务器费用，乙方不承担任何本地化部署产生的云资源及服务器费用。</w:t>
      </w:r>
    </w:p>
    <w:p w14:paraId="3212290B">
      <w:pPr>
        <w:snapToGrid w:val="0"/>
        <w:spacing w:line="360" w:lineRule="auto"/>
        <w:ind w:firstLine="480" w:firstLineChars="200"/>
        <w:rPr>
          <w:rFonts w:hint="eastAsia" w:ascii="宋体" w:hAnsi="宋体"/>
          <w:bCs/>
          <w:sz w:val="24"/>
          <w:szCs w:val="24"/>
          <w:highlight w:val="none"/>
          <w:lang w:bidi="en-US"/>
        </w:rPr>
      </w:pPr>
      <w:r>
        <w:rPr>
          <w:rFonts w:hint="eastAsia" w:ascii="宋体" w:hAnsi="宋体"/>
          <w:bCs/>
          <w:sz w:val="24"/>
          <w:szCs w:val="24"/>
          <w:highlight w:val="none"/>
          <w:lang w:bidi="en-US"/>
        </w:rPr>
        <w:t>3.支付：甲方应于项目服务期开始后的90日内，向乙方预付合同金额的80%（其中30%为转账形式支付，50%为数字人民币形式支付）,人民币（大写）</w:t>
      </w:r>
      <w:r>
        <w:rPr>
          <w:rFonts w:hint="eastAsia" w:ascii="宋体" w:hAnsi="宋体"/>
          <w:bCs/>
          <w:sz w:val="24"/>
          <w:szCs w:val="24"/>
          <w:highlight w:val="none"/>
          <w:u w:val="single"/>
          <w:lang w:bidi="en-US"/>
        </w:rPr>
        <w:t>XXXXXXXX元</w:t>
      </w:r>
      <w:r>
        <w:rPr>
          <w:rFonts w:hint="eastAsia" w:ascii="宋体" w:hAnsi="宋体"/>
          <w:bCs/>
          <w:sz w:val="24"/>
          <w:szCs w:val="24"/>
          <w:highlight w:val="none"/>
          <w:lang w:bidi="en-US"/>
        </w:rPr>
        <w:t>整（小写）￥</w:t>
      </w:r>
      <w:r>
        <w:rPr>
          <w:rFonts w:hint="eastAsia" w:ascii="宋体" w:hAnsi="宋体"/>
          <w:bCs/>
          <w:sz w:val="24"/>
          <w:szCs w:val="24"/>
          <w:highlight w:val="none"/>
          <w:u w:val="single"/>
          <w:lang w:bidi="en-US"/>
        </w:rPr>
        <w:t>XXXXXXX</w:t>
      </w:r>
      <w:r>
        <w:rPr>
          <w:rFonts w:hint="eastAsia" w:ascii="宋体" w:hAnsi="宋体"/>
          <w:bCs/>
          <w:sz w:val="24"/>
          <w:szCs w:val="24"/>
          <w:highlight w:val="none"/>
          <w:lang w:bidi="en-US"/>
        </w:rPr>
        <w:t>元；并在服务期满后30日内，对乙方的服务进行绩效评价，并根据绩效评价情况按比例支付剩余合同金额，绩效评价为优，则支付合同金额的20%；绩效评价为良，则支付合同金额的15%；绩效评价为不合格，则不支付尾款。</w:t>
      </w:r>
    </w:p>
    <w:p w14:paraId="7761C1F3">
      <w:pPr>
        <w:snapToGrid w:val="0"/>
        <w:spacing w:line="360" w:lineRule="auto"/>
        <w:ind w:firstLine="480" w:firstLineChars="200"/>
        <w:rPr>
          <w:rFonts w:hint="eastAsia" w:ascii="宋体" w:hAnsi="宋体"/>
          <w:bCs/>
          <w:sz w:val="24"/>
          <w:szCs w:val="24"/>
          <w:highlight w:val="none"/>
          <w:lang w:bidi="en-US"/>
        </w:rPr>
      </w:pPr>
      <w:r>
        <w:rPr>
          <w:rFonts w:hint="eastAsia" w:ascii="宋体" w:hAnsi="宋体"/>
          <w:bCs/>
          <w:sz w:val="24"/>
          <w:szCs w:val="24"/>
          <w:highlight w:val="none"/>
          <w:lang w:bidi="en-US"/>
        </w:rPr>
        <w:t>4.预付款项监管</w:t>
      </w:r>
    </w:p>
    <w:p w14:paraId="5400DEC6">
      <w:pPr>
        <w:snapToGrid w:val="0"/>
        <w:spacing w:line="360" w:lineRule="auto"/>
        <w:ind w:firstLine="480" w:firstLineChars="200"/>
        <w:rPr>
          <w:rFonts w:hint="eastAsia" w:ascii="宋体" w:hAnsi="宋体"/>
          <w:bCs/>
          <w:sz w:val="24"/>
          <w:szCs w:val="24"/>
          <w:highlight w:val="none"/>
          <w:lang w:bidi="en-US"/>
        </w:rPr>
      </w:pPr>
      <w:r>
        <w:rPr>
          <w:rFonts w:hint="eastAsia" w:ascii="宋体" w:hAnsi="宋体"/>
          <w:bCs/>
          <w:sz w:val="24"/>
          <w:szCs w:val="24"/>
          <w:highlight w:val="none"/>
          <w:lang w:bidi="en-US"/>
        </w:rPr>
        <w:t>（1）乙方需开立与甲方对应的同一银行数字人民币钱包，并组织拟支付资金的二级供应商开立同一银行的数字人民币钱包，以便对预付款中超过合同款总额50%的部分（</w:t>
      </w:r>
      <w:r>
        <w:rPr>
          <w:rFonts w:hint="eastAsia" w:ascii="宋体" w:hAnsi="宋体"/>
          <w:bCs/>
          <w:sz w:val="24"/>
          <w:szCs w:val="24"/>
          <w:highlight w:val="none"/>
          <w:u w:val="single"/>
          <w:lang w:bidi="en-US"/>
        </w:rPr>
        <w:t>XXXXXX</w:t>
      </w:r>
      <w:r>
        <w:rPr>
          <w:rFonts w:hint="eastAsia" w:ascii="宋体" w:hAnsi="宋体"/>
          <w:bCs/>
          <w:sz w:val="24"/>
          <w:szCs w:val="24"/>
          <w:highlight w:val="none"/>
          <w:lang w:bidi="en-US"/>
        </w:rPr>
        <w:t>元，即大写：</w:t>
      </w:r>
      <w:r>
        <w:rPr>
          <w:rFonts w:hint="eastAsia" w:ascii="宋体" w:hAnsi="宋体"/>
          <w:bCs/>
          <w:sz w:val="24"/>
          <w:szCs w:val="24"/>
          <w:highlight w:val="none"/>
          <w:u w:val="single"/>
          <w:lang w:bidi="en-US"/>
        </w:rPr>
        <w:t>XXXXXXXX</w:t>
      </w:r>
      <w:r>
        <w:rPr>
          <w:rFonts w:hint="eastAsia" w:ascii="宋体" w:hAnsi="宋体"/>
          <w:bCs/>
          <w:sz w:val="24"/>
          <w:szCs w:val="24"/>
          <w:highlight w:val="none"/>
          <w:lang w:bidi="en-US"/>
        </w:rPr>
        <w:t>元整)后续使用进行监管。</w:t>
      </w:r>
    </w:p>
    <w:p w14:paraId="6580BE2A">
      <w:pPr>
        <w:snapToGrid w:val="0"/>
        <w:spacing w:line="360" w:lineRule="auto"/>
        <w:ind w:firstLine="480" w:firstLineChars="200"/>
        <w:rPr>
          <w:rFonts w:hint="eastAsia" w:ascii="宋体" w:hAnsi="宋体"/>
          <w:bCs/>
          <w:sz w:val="24"/>
          <w:szCs w:val="24"/>
          <w:highlight w:val="none"/>
          <w:lang w:bidi="en-US"/>
        </w:rPr>
      </w:pPr>
      <w:r>
        <w:rPr>
          <w:rFonts w:hint="eastAsia" w:ascii="宋体" w:hAnsi="宋体"/>
          <w:bCs/>
          <w:sz w:val="24"/>
          <w:szCs w:val="24"/>
          <w:highlight w:val="none"/>
          <w:lang w:bidi="en-US"/>
        </w:rPr>
        <w:t>（2）二级供应商收到数字人民币后，资金将被暂时冻结，需甲方确认乙方已按合同约定完成相应实物工作量并进行验收合格后，方可解冻不受限制。如乙方未按照合同约定完成工作量或经甲方验收不合格的，甲方有权收回相应预付款资金。</w:t>
      </w:r>
    </w:p>
    <w:p w14:paraId="4C8C006D">
      <w:pPr>
        <w:snapToGrid w:val="0"/>
        <w:spacing w:line="360" w:lineRule="auto"/>
        <w:ind w:firstLine="480" w:firstLineChars="200"/>
        <w:rPr>
          <w:rFonts w:hint="eastAsia" w:ascii="宋体" w:hAnsi="宋体"/>
          <w:bCs/>
          <w:sz w:val="24"/>
          <w:szCs w:val="24"/>
          <w:highlight w:val="none"/>
          <w:lang w:bidi="en-US"/>
        </w:rPr>
      </w:pPr>
      <w:r>
        <w:rPr>
          <w:rFonts w:hint="eastAsia" w:ascii="宋体" w:hAnsi="宋体"/>
          <w:bCs/>
          <w:sz w:val="24"/>
          <w:szCs w:val="24"/>
          <w:highlight w:val="none"/>
          <w:lang w:bidi="en-US"/>
        </w:rPr>
        <w:t>（3）乙方应保证甲方验收确认前，预付款中合同金额（数字人民币支付形式）50%的部分专款专用，不得挪作他用，否则甲方有权收回相应预付款资金。</w:t>
      </w:r>
    </w:p>
    <w:p w14:paraId="1C128492">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5、乙方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账户信息如下：</w:t>
      </w:r>
    </w:p>
    <w:p w14:paraId="6B6BC1C5">
      <w:pPr>
        <w:widowControl/>
        <w:adjustRightInd w:val="0"/>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乙方账户名称：</w:t>
      </w:r>
      <w:r>
        <w:rPr>
          <w:rFonts w:hint="eastAsia" w:ascii="宋体" w:hAnsi="宋体"/>
          <w:bCs/>
          <w:color w:val="000000" w:themeColor="text1"/>
          <w:kern w:val="0"/>
          <w:sz w:val="24"/>
          <w:szCs w:val="24"/>
          <w:highlight w:val="none"/>
          <w:u w:val="single"/>
          <w14:textFill>
            <w14:solidFill>
              <w14:schemeClr w14:val="tx1"/>
            </w14:solidFill>
          </w14:textFill>
        </w:rPr>
        <w:t>政采云股份有限公司</w:t>
      </w:r>
    </w:p>
    <w:p w14:paraId="06F3B3ED">
      <w:pPr>
        <w:widowControl/>
        <w:adjustRightInd w:val="0"/>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乙方开户银行：</w:t>
      </w:r>
      <w:r>
        <w:rPr>
          <w:rFonts w:hint="eastAsia" w:ascii="宋体" w:hAnsi="宋体"/>
          <w:color w:val="000000" w:themeColor="text1"/>
          <w:sz w:val="24"/>
          <w:szCs w:val="24"/>
          <w:highlight w:val="none"/>
          <w:u w:val="single"/>
          <w14:textFill>
            <w14:solidFill>
              <w14:schemeClr w14:val="tx1"/>
            </w14:solidFill>
          </w14:textFill>
        </w:rPr>
        <w:t>浙商银行杭州分行营业部</w:t>
      </w:r>
    </w:p>
    <w:p w14:paraId="2921E6AE">
      <w:pPr>
        <w:widowControl/>
        <w:adjustRightInd w:val="0"/>
        <w:snapToGrid w:val="0"/>
        <w:spacing w:line="360" w:lineRule="auto"/>
        <w:ind w:firstLine="480" w:firstLineChars="200"/>
        <w:rPr>
          <w:rFonts w:hint="eastAsia" w:ascii="宋体" w:hAnsi="宋体"/>
          <w:bCs/>
          <w:color w:val="000000" w:themeColor="text1"/>
          <w:kern w:val="0"/>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乙方银行账号：</w:t>
      </w:r>
      <w:r>
        <w:rPr>
          <w:rFonts w:ascii="宋体" w:hAnsi="宋体"/>
          <w:color w:val="000000" w:themeColor="text1"/>
          <w:sz w:val="24"/>
          <w:szCs w:val="24"/>
          <w:highlight w:val="none"/>
          <w:u w:val="single"/>
          <w14:textFill>
            <w14:solidFill>
              <w14:schemeClr w14:val="tx1"/>
            </w14:solidFill>
          </w14:textFill>
        </w:rPr>
        <w:t>3310010010120100744712</w:t>
      </w:r>
    </w:p>
    <w:p w14:paraId="01A453BA">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6</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乙方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每次</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应在甲方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支付服务费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前，</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向甲方开具等额的</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增值税</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发票，开票内容为技术服务费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 xml:space="preserve"> </w:t>
      </w:r>
    </w:p>
    <w:p w14:paraId="41C7DDBF">
      <w:pPr>
        <w:snapToGrid w:val="0"/>
        <w:spacing w:line="360" w:lineRule="auto"/>
        <w:ind w:firstLine="480" w:firstLineChars="20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7</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本合同执行中相关的一切税费均由乙方负担。</w:t>
      </w:r>
    </w:p>
    <w:p w14:paraId="3BC2495B">
      <w:pPr>
        <w:snapToGrid w:val="0"/>
        <w:spacing w:line="360" w:lineRule="auto"/>
        <w:ind w:firstLine="482" w:firstLineChars="200"/>
        <w:outlineLvl w:val="0"/>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六</w:t>
      </w:r>
      <w:r>
        <w:rPr>
          <w:rFonts w:asciiTheme="minorEastAsia" w:hAnsiTheme="minorEastAsia" w:eastAsiaTheme="minorEastAsia"/>
          <w:b/>
          <w:bCs/>
          <w:color w:val="000000" w:themeColor="text1"/>
          <w:sz w:val="24"/>
          <w:szCs w:val="24"/>
          <w:highlight w:val="none"/>
          <w:lang w:bidi="en-US"/>
          <w14:textFill>
            <w14:solidFill>
              <w14:schemeClr w14:val="tx1"/>
            </w14:solidFill>
          </w14:textFill>
        </w:rPr>
        <w:t>、</w:t>
      </w: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双方</w:t>
      </w:r>
      <w:r>
        <w:rPr>
          <w:rFonts w:asciiTheme="minorEastAsia" w:hAnsiTheme="minorEastAsia" w:eastAsiaTheme="minorEastAsia"/>
          <w:b/>
          <w:bCs/>
          <w:color w:val="000000" w:themeColor="text1"/>
          <w:sz w:val="24"/>
          <w:szCs w:val="24"/>
          <w:highlight w:val="none"/>
          <w:lang w:bidi="en-US"/>
          <w14:textFill>
            <w14:solidFill>
              <w14:schemeClr w14:val="tx1"/>
            </w14:solidFill>
          </w14:textFill>
        </w:rPr>
        <w:t>权利和义务</w:t>
      </w:r>
    </w:p>
    <w:p w14:paraId="4A3646F9">
      <w:pPr>
        <w:snapToGrid w:val="0"/>
        <w:spacing w:line="360" w:lineRule="auto"/>
        <w:ind w:firstLine="480" w:firstLineChars="200"/>
        <w:outlineLvl w:val="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（一）甲方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权利和义务</w:t>
      </w:r>
    </w:p>
    <w:p w14:paraId="01E2CCB6">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1、</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甲方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有权</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使用本合同第三条</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约定的</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服务，参加网上政府采购活动，并可提出改进政采云平台的意见和建议。</w:t>
      </w:r>
    </w:p>
    <w:p w14:paraId="4F745B7B">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2、</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甲方应</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配合乙方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部署</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、实施</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系统</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服务，为乙方提供</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便利条件</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包括</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但不限于：</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协调</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各区划</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入驻</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、组织各区划培训，及时</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响应</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乙方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提出</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的问题</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等</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w:t>
      </w:r>
    </w:p>
    <w:p w14:paraId="2DC9CCF8">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3</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甲方应安排专门人员负责执行本合同，以保证约定的服务不间断的进行，人员发生变化时，甲方应提前通知乙方。如因甲方提供的人员信息不真实、不准确、不完整，以及因以上人员的行为或不作为而产生的结果，均由甲方负责。</w:t>
      </w:r>
    </w:p>
    <w:p w14:paraId="060A7C1F">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4</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甲方应按照本合同</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的</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约定</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及时向</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乙方支付</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相应</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服务费用。</w:t>
      </w:r>
    </w:p>
    <w:p w14:paraId="50C0B171">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5</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、甲方同意遵守本合同以及政采云平台展示的相关管理规范、流程及各类规则。</w:t>
      </w:r>
    </w:p>
    <w:p w14:paraId="78CED183">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6</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甲方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应</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保证</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其</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在政采云平台上所发布信息</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的合法性，</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不得</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利用乙方提供的资源和服务上传、下载、储存、发布如下信息或者内容，不为他人发布该等信息提供任何便利，</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否则</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由此</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造成的全</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部</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结果</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及</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责任由甲方自行承担</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p>
    <w:p w14:paraId="1FA8AB9F">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1）损害国家、社会公共利益或涉及国家安全、政治宣传的信息；</w:t>
      </w:r>
    </w:p>
    <w:p w14:paraId="3CEB8EF0">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2）涉及任何暴力、恐怖或者教唆犯罪的，以及骚扰性、中伤他人、辱骂性、恐吓性、伤害性的信息；</w:t>
      </w:r>
    </w:p>
    <w:p w14:paraId="723306A6">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3）封建迷信或淫秽、色情的信息；</w:t>
      </w:r>
    </w:p>
    <w:p w14:paraId="2E4502DB">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4）违反国家民族和宗教政策的信息；</w:t>
      </w:r>
    </w:p>
    <w:p w14:paraId="5DD29E6F">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5）妨碍互联网运行安全的信息；</w:t>
      </w:r>
    </w:p>
    <w:p w14:paraId="06926C06">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6）其他违反法律法规、部门规章或国家政策的内容。</w:t>
      </w:r>
    </w:p>
    <w:p w14:paraId="12380431">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7</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、甲方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不得</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进行任何改变或试图改变乙方提供的系统配置或破坏系统安全的行为。</w:t>
      </w:r>
    </w:p>
    <w:p w14:paraId="6C4D1F65">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8</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甲方对自己存放在政采云平台上的数据以及进入和管理政采云平台上各类产品与服务的口令、密码的完整性和保密性负责。因甲方维护不当或保密不当致使上述数据、口令、密码等丢失或泄漏所引起的一切损失和后果均由甲方自行承担。</w:t>
      </w:r>
    </w:p>
    <w:p w14:paraId="0DF576C6">
      <w:pPr>
        <w:snapToGrid w:val="0"/>
        <w:spacing w:line="360" w:lineRule="auto"/>
        <w:ind w:firstLine="480" w:firstLineChars="200"/>
        <w:outlineLvl w:val="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（二）乙方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权利和义务</w:t>
      </w:r>
    </w:p>
    <w:p w14:paraId="02057C66">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1、</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乙方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应于</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服务</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期限开始前为甲方开通</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服务</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，包括</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办理各区划</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入驻、</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账号</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开通等。</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本合同项下约定的</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应由</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乙方提供的服务，乙方均不能另行收费。</w:t>
      </w:r>
    </w:p>
    <w:p w14:paraId="3C64F66B">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2</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、服务</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期间，</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乙方应为甲方提供本合同</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第三条约定的</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政采云平台业务系统的操作、应用等培训。</w:t>
      </w:r>
    </w:p>
    <w:p w14:paraId="726E63D3">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3、</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乙方应</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按合同约定</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的标准</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向甲方提供服务，具体服务标准详见附件</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一《服务</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水平协议</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SLA）</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w:t>
      </w:r>
    </w:p>
    <w:p w14:paraId="1F6FB0E5">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4、服务期限内，</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乙方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将为甲方提供如下客户服务：</w:t>
      </w:r>
    </w:p>
    <w:p w14:paraId="3ED14BAF">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1）乙方提供7×24小时售后故障</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支持服务，并提供有效的联系方式以保证甲方能够联系到故障联系人，故障联系人在明确故障后及时进行反馈。</w:t>
      </w:r>
    </w:p>
    <w:p w14:paraId="5476DD6D">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2）乙方提供7×24</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小时的在线机器人服务系统、帮助中心自助查询、用户帮助工具和</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邮箱受理服务</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，以及</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5×8小时</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（指工作日，周一至周五，节假日除外）</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的热/在线服务，</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解答甲方在使用中的问题。</w:t>
      </w:r>
    </w:p>
    <w:p w14:paraId="1FB95745">
      <w:pPr>
        <w:adjustRightInd w:val="0"/>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5、</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乙方应负责政采云平台业务</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系统（</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含系统</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以下的底层部分）</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的运营维护，确保</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业务系统的稳定性和可用性。</w:t>
      </w:r>
    </w:p>
    <w:p w14:paraId="3DC5A1C6">
      <w:pPr>
        <w:adjustRightInd w:val="0"/>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6、乙方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应负责消除甲方非人为操作所出现的故障；对因甲方原因</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或不可抗力以及非乙方控制范围之内的事项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引起的</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故障</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，乙方将积极协助甲方解决，以避免损失进一步扩大。</w:t>
      </w:r>
    </w:p>
    <w:p w14:paraId="24C72A29">
      <w:pPr>
        <w:adjustRightInd w:val="0"/>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7</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、乙方应严格</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遵守</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合同</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约定的保密义务</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p>
    <w:p w14:paraId="6B2B9345">
      <w:pPr>
        <w:adjustRightInd w:val="0"/>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8</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、除本合同约定的收费模式外，乙方可在甲方的允许下进一步探索其他商业化运营。</w:t>
      </w:r>
    </w:p>
    <w:p w14:paraId="194F865C">
      <w:pPr>
        <w:adjustRightInd w:val="0"/>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9</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乙方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应遵守政府</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信息系统安全管理政策和标准，</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为</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甲方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提供</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安全、可靠</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的</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云计算服务。</w:t>
      </w:r>
    </w:p>
    <w:p w14:paraId="2658ED61">
      <w:pPr>
        <w:adjustRightInd w:val="0"/>
        <w:snapToGrid w:val="0"/>
        <w:spacing w:line="360" w:lineRule="auto"/>
        <w:ind w:firstLine="480" w:firstLineChars="200"/>
        <w:rPr>
          <w:rFonts w:hint="eastAsia" w:asciiTheme="minorEastAsia" w:hAnsiTheme="minorEastAsia" w:eastAsiaTheme="minorEastAsia"/>
          <w:bCs/>
          <w:color w:val="000000" w:themeColor="text1"/>
          <w:sz w:val="30"/>
          <w:szCs w:val="30"/>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10</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、经甲方审核同意，在不披露甲方保密信息的前提下，在本合同期限内，乙方可以就甲方使用乙方产品情况作为使用范例或成功案例用于乙方自身或产品、</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服务的宣传和推广，在这类宣传推广中，乙方并有权使用甲方的名称、单位标识（如有）。</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未经甲方审核同意，擅自使用的，甲方有权要求乙方停止侵权行为，直至终止合同。</w:t>
      </w:r>
    </w:p>
    <w:p w14:paraId="6C1A564E">
      <w:pPr>
        <w:snapToGrid w:val="0"/>
        <w:spacing w:line="360" w:lineRule="auto"/>
        <w:ind w:firstLine="482" w:firstLineChars="200"/>
        <w:outlineLvl w:val="0"/>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七</w:t>
      </w:r>
      <w:r>
        <w:rPr>
          <w:rFonts w:asciiTheme="minorEastAsia" w:hAnsiTheme="minorEastAsia" w:eastAsiaTheme="minorEastAsia"/>
          <w:b/>
          <w:bCs/>
          <w:color w:val="000000" w:themeColor="text1"/>
          <w:sz w:val="24"/>
          <w:szCs w:val="24"/>
          <w:highlight w:val="none"/>
          <w:lang w:bidi="en-US"/>
          <w14:textFill>
            <w14:solidFill>
              <w14:schemeClr w14:val="tx1"/>
            </w14:solidFill>
          </w14:textFill>
        </w:rPr>
        <w:t>、数据</w:t>
      </w: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安全</w:t>
      </w:r>
    </w:p>
    <w:p w14:paraId="530CC73C">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1</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甲方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对其</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提供给乙方的数据</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以及</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在政采</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云平台上甲方业务运行过程中收集、产生</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存储</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的</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数据和文档</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等（以下</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简称</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甲方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数据</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）享有</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访问、</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利用</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、支配等</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权利，任何单位及个人无权未经甲方同意，无权擅自使用相关数据</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w:t>
      </w:r>
    </w:p>
    <w:p w14:paraId="49ECCB41">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财政部和甲方所在地</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政府采购监管部门</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有权使用前述数据用于政府决策或其他非商业用途。</w:t>
      </w:r>
    </w:p>
    <w:p w14:paraId="505BDCA2">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2</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未经</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甲方或</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甲方所在地政府采购监管部门授权，</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乙方不得</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修改、披露、利用、转让</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销毁</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甲方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数据</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除非：</w:t>
      </w:r>
    </w:p>
    <w:p w14:paraId="6B1155BE">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1）为了向甲方提供其指定的安全服务，检测、浏览、记录甲方的服务使</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用行为以及甲方业务数据的不安全特征（不包含对数据本身的记录及披露）；</w:t>
      </w:r>
    </w:p>
    <w:p w14:paraId="44C837DF">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2</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）根据法律的有关规定、行政或司法机构等</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国家公权力机关</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的要求，向第三方或者行政、司法机构等披露；</w:t>
      </w:r>
    </w:p>
    <w:p w14:paraId="4E4DDBD6">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3）出于审计、数据分析和研究等目的而使用；</w:t>
      </w:r>
    </w:p>
    <w:p w14:paraId="32720240">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4）基于云平台内部运营管理所需的非商业化利用；</w:t>
      </w:r>
    </w:p>
    <w:p w14:paraId="2293ED31">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5）经甲方同意的使用或披露。</w:t>
      </w:r>
    </w:p>
    <w:p w14:paraId="67317D67">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3、乙方不得依据其他国家的法律和司法要求，将甲方数据</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及</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相关信息提供给他国政府、组织。</w:t>
      </w:r>
    </w:p>
    <w:p w14:paraId="478979D0">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4</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、甲方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数据均保存</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在中国境内注册、具有相应资质等级的中国</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境内</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服务器上。同时，乙方必须采取有效管理和技术措施，确保甲方数据信息的安全，包括但不限于信息加密</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存储、数据中心的访问控制、权限控制</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等等。</w:t>
      </w:r>
    </w:p>
    <w:p w14:paraId="74C8D27B">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5</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、但除法律规定或双方另有约定外，</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服务合同终止</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后</w:t>
      </w:r>
      <w:r>
        <w:rPr>
          <w:rFonts w:asciiTheme="minorEastAsia" w:hAnsiTheme="minorEastAsia" w:eastAsiaTheme="minorEastAsia"/>
          <w:bCs/>
          <w:color w:val="000000" w:themeColor="text1"/>
          <w:sz w:val="24"/>
          <w:szCs w:val="24"/>
          <w:highlight w:val="none"/>
          <w:u w:val="single"/>
          <w:lang w:bidi="en-US"/>
          <w14:textFill>
            <w14:solidFill>
              <w14:schemeClr w14:val="tx1"/>
            </w14:solidFill>
          </w14:textFill>
        </w:rPr>
        <w:t xml:space="preserve">  60  </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日</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内，</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乙方会</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按甲方要求</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协助</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甲方迁移其</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相关</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交易数据或彻底清除数据</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；逾期</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将不再保留，</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甲方需自行承担其数据被销毁后引发的一切后果。</w:t>
      </w:r>
    </w:p>
    <w:p w14:paraId="1E83E21F">
      <w:pPr>
        <w:snapToGrid w:val="0"/>
        <w:spacing w:line="360" w:lineRule="auto"/>
        <w:ind w:firstLine="482" w:firstLineChars="200"/>
        <w:outlineLvl w:val="0"/>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八</w:t>
      </w:r>
      <w:r>
        <w:rPr>
          <w:rFonts w:asciiTheme="minorEastAsia" w:hAnsiTheme="minorEastAsia" w:eastAsiaTheme="minorEastAsia"/>
          <w:b/>
          <w:bCs/>
          <w:color w:val="000000" w:themeColor="text1"/>
          <w:sz w:val="24"/>
          <w:szCs w:val="24"/>
          <w:highlight w:val="none"/>
          <w:lang w:bidi="en-US"/>
          <w14:textFill>
            <w14:solidFill>
              <w14:schemeClr w14:val="tx1"/>
            </w14:solidFill>
          </w14:textFill>
        </w:rPr>
        <w:t>、知识产权</w:t>
      </w: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与</w:t>
      </w:r>
      <w:r>
        <w:rPr>
          <w:rFonts w:asciiTheme="minorEastAsia" w:hAnsiTheme="minorEastAsia" w:eastAsiaTheme="minorEastAsia"/>
          <w:b/>
          <w:bCs/>
          <w:color w:val="000000" w:themeColor="text1"/>
          <w:sz w:val="24"/>
          <w:szCs w:val="24"/>
          <w:highlight w:val="none"/>
          <w:lang w:bidi="en-US"/>
          <w14:textFill>
            <w14:solidFill>
              <w14:schemeClr w14:val="tx1"/>
            </w14:solidFill>
          </w14:textFill>
        </w:rPr>
        <w:t>保密</w:t>
      </w:r>
    </w:p>
    <w:p w14:paraId="4638EE5E">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1、</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乙方</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拥有</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政采云平台所有系统的</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自</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主知识</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产权，甲方不得以任何方式对系统进行破解、反编译、模仿</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设计</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等侵犯乙方知识产权的操作</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否则视为对乙方的</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侵权</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，乙方保留向甲方索赔由此造成乙方损失的权利。</w:t>
      </w:r>
    </w:p>
    <w:p w14:paraId="45F98C35">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另外</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除</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本合同约定的甲方数据外，</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政采云平台上有关内容，包括但不限于著作、商标、</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LOGO、域名、图片、档案、资讯、资</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料、网站架构、网站画面的安排、网页设计以及任何有关的衍生作品等的</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知识产权，均属于乙方或第三方所有。未经</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乙方或</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第三方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明示同意，甲方不得复制、修改、传播、</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转让</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、许可或以其他方式擅自使用或</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提供给他人使用</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；不得进行反向工程、反编译、反汇编，或以其他方式发现、提取或转换源代码，否则</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应承担相应的责任。</w:t>
      </w:r>
    </w:p>
    <w:p w14:paraId="375F82D6">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2、</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任何</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一方应对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履行</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本</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合同</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过程中所获悉的另一方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或</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政采云平台其他用户的保密</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或</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专有信息</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予以</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保密，</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保密期限自一方接收或知悉另一方或</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平台其他用户的</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保密信息之日起至该等保密信息公开之日止。如一方违反保密义务造成另一方或政采云</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平台</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其他用户损失的，违约方应自行承担全部赔偿责任。</w:t>
      </w:r>
    </w:p>
    <w:p w14:paraId="7CCAC6D0">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具体</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保密义务详见附件</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二</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保密</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协议》</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p>
    <w:p w14:paraId="3280C4ED">
      <w:pPr>
        <w:snapToGrid w:val="0"/>
        <w:spacing w:line="360" w:lineRule="auto"/>
        <w:ind w:firstLine="482" w:firstLineChars="200"/>
        <w:outlineLvl w:val="0"/>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九、安全保障条款</w:t>
      </w:r>
    </w:p>
    <w:p w14:paraId="0BC78702">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1</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乙方提供多个不同层面的安全架构保障，帮助甲方及甲方客户保护其数据的可用性、机密性和完整性。乙方提供多种安全机制来帮助甲方及甲方客户保护账户安全以防止</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未经</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授权的用户操作。同时，乙方组建了专门的安全应急团队来应对政府采购云平台上可能的安全威胁，并对异常事件积极响应和处理。</w:t>
      </w:r>
    </w:p>
    <w:p w14:paraId="6CD9FB09">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2</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本协议项下，甲方可对乙方提供的产品及服务进行安全监督，对于甲方及甲方客户就乙方产品及服务安全保障方面的相关咨询及问题，乙方将及时提供解答。</w:t>
      </w:r>
    </w:p>
    <w:p w14:paraId="1A73A2D4">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3</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乙方应高度重视安全合规，截</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至本合同</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签署时乙方已通过</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中央网信办组织的云计算服务网络安全审查、</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信息系统安全等级保护三级备案</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等。</w:t>
      </w:r>
    </w:p>
    <w:p w14:paraId="24039659">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4</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乙方依据法律规定及政府采购云平台公示的隐私政策对用户数据信息进行保护和处理。</w:t>
      </w:r>
    </w:p>
    <w:p w14:paraId="5945197E">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5</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乙方承诺对</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与</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甲方使用的乙方产品和服务相关的安全事件信息或威胁信息及时同步给甲方。</w:t>
      </w:r>
    </w:p>
    <w:p w14:paraId="2F04E3F0">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6</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本协议项下，对于甲方购买的乙方产品服务，双方安全责任划分为：</w:t>
      </w:r>
    </w:p>
    <w:p w14:paraId="653C7D7A">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1）乙方向甲方提供PaaS服务（如采购计划管理系统、数据中心以及数据开发等服务）时，乙方承担设施、硬件资源层、虚拟化组件、操作系统以及平台软件的安全控制责任；甲方承担财政内网及专用接口应用部署资源及其安全管控以及甲方客户端的安全控制责任。</w:t>
      </w:r>
    </w:p>
    <w:p w14:paraId="2BC75E1F">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2）乙方向甲方提供SaaS服务（如</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电子卖场等）时，乙方承担设施、硬件资源层、虚拟化组件、操作系统以及应用程序的安全控制责任；甲方承担其客户端的安全控制责任。</w:t>
      </w:r>
    </w:p>
    <w:p w14:paraId="7258D3CD">
      <w:pPr>
        <w:snapToGrid w:val="0"/>
        <w:spacing w:line="360" w:lineRule="auto"/>
        <w:ind w:firstLine="482" w:firstLineChars="200"/>
        <w:outlineLvl w:val="0"/>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十、诚信条款</w:t>
      </w:r>
    </w:p>
    <w:p w14:paraId="5D04D369">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1</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乙方承诺不从事</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欺瞒甚至欺诈的不诚实行为，包括但不限于：</w:t>
      </w:r>
    </w:p>
    <w:p w14:paraId="42637B53">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1）与其他供应商共谋定价，抬高或压低报价；</w:t>
      </w:r>
    </w:p>
    <w:p w14:paraId="35581F78">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2）提交虚假的报价信息或其他供应商资质文件；</w:t>
      </w:r>
    </w:p>
    <w:p w14:paraId="186C659D">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3）接受供应商调查过程中，隐瞒重要信息或提供虚假信息。</w:t>
      </w:r>
    </w:p>
    <w:p w14:paraId="7EAF25D3">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2</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乙方承诺不为促成合同的签订、履行而直接或间接向甲方员工、顾问提供任何形式的不正当利益。</w:t>
      </w:r>
    </w:p>
    <w:p w14:paraId="1B217016">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asciiTheme="minorEastAsia" w:hAnsiTheme="minorEastAsia" w:eastAsiaTheme="minorEastAsia"/>
          <w:bCs/>
          <w:color w:val="000000" w:themeColor="text1"/>
          <w:sz w:val="24"/>
          <w:szCs w:val="24"/>
          <w:highlight w:val="none"/>
          <w:lang w:bidi="en-US"/>
          <w14:textFill>
            <w14:solidFill>
              <w14:schemeClr w14:val="tx1"/>
            </w14:solidFill>
          </w14:textFill>
        </w:rPr>
        <w:t>3</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如乙方有违反上述约定之一的行为，甲方有权立即解除合同。同时，甲方有权要求乙方按以下两者中较高的一项支付违约金</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p>
    <w:p w14:paraId="7ABB5233">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1）当年合同服务金额的30%；</w:t>
      </w:r>
    </w:p>
    <w:p w14:paraId="1A32D81B">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2）</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不当利益的总金额。</w:t>
      </w:r>
    </w:p>
    <w:p w14:paraId="128C982A">
      <w:pPr>
        <w:snapToGrid w:val="0"/>
        <w:spacing w:line="360" w:lineRule="auto"/>
        <w:ind w:firstLine="480" w:firstLineChars="200"/>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如乙方知悉或怀疑甲方员工有违反上述约定的，应及时向甲方举报，甲方承诺对联系信息进行保密。</w:t>
      </w:r>
    </w:p>
    <w:p w14:paraId="074A5D5E">
      <w:pPr>
        <w:snapToGrid w:val="0"/>
        <w:spacing w:line="360" w:lineRule="auto"/>
        <w:ind w:firstLine="482" w:firstLineChars="200"/>
        <w:outlineLvl w:val="0"/>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十一</w:t>
      </w:r>
      <w:r>
        <w:rPr>
          <w:rFonts w:asciiTheme="minorEastAsia" w:hAnsiTheme="minorEastAsia" w:eastAsiaTheme="minorEastAsia"/>
          <w:b/>
          <w:bCs/>
          <w:color w:val="000000" w:themeColor="text1"/>
          <w:sz w:val="24"/>
          <w:szCs w:val="24"/>
          <w:highlight w:val="none"/>
          <w:lang w:bidi="en-US"/>
          <w14:textFill>
            <w14:solidFill>
              <w14:schemeClr w14:val="tx1"/>
            </w14:solidFill>
          </w14:textFill>
        </w:rPr>
        <w:t>、违约</w:t>
      </w:r>
      <w:r>
        <w:rPr>
          <w:rFonts w:hint="eastAsia" w:asciiTheme="minorEastAsia" w:hAnsiTheme="minorEastAsia" w:eastAsiaTheme="minorEastAsia"/>
          <w:b/>
          <w:bCs/>
          <w:color w:val="000000" w:themeColor="text1"/>
          <w:sz w:val="24"/>
          <w:szCs w:val="24"/>
          <w:highlight w:val="none"/>
          <w:lang w:bidi="en-US"/>
          <w14:textFill>
            <w14:solidFill>
              <w14:schemeClr w14:val="tx1"/>
            </w14:solidFill>
          </w14:textFill>
        </w:rPr>
        <w:t>责任</w:t>
      </w:r>
    </w:p>
    <w:p w14:paraId="1D99846F">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asciiTheme="minorEastAsia" w:hAnsiTheme="minorEastAsia" w:eastAsiaTheme="minorEastAsia"/>
          <w:color w:val="000000" w:themeColor="text1"/>
          <w:sz w:val="24"/>
          <w:szCs w:val="24"/>
          <w:highlight w:val="none"/>
          <w:lang w:bidi="en-US"/>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甲方理解，鉴于计算机、互联网的特殊性，下述情况不属于乙方违约：</w:t>
      </w:r>
    </w:p>
    <w:p w14:paraId="337FCA1C">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w:t>
      </w:r>
      <w:r>
        <w:rPr>
          <w:rFonts w:asciiTheme="minorEastAsia" w:hAnsiTheme="minorEastAsia" w:eastAsiaTheme="minorEastAsia"/>
          <w:color w:val="000000" w:themeColor="text1"/>
          <w:sz w:val="24"/>
          <w:szCs w:val="24"/>
          <w:highlight w:val="none"/>
          <w:lang w:bidi="en-US"/>
          <w14:textFill>
            <w14:solidFill>
              <w14:schemeClr w14:val="tx1"/>
            </w14:solidFill>
          </w14:textFill>
        </w:rPr>
        <w:t>1）乙方在进行服务器配置、维护时，需要短时间中断服务，但乙方应提前通知甲方；</w:t>
      </w:r>
    </w:p>
    <w:p w14:paraId="0118D12D">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w:t>
      </w:r>
      <w:r>
        <w:rPr>
          <w:rFonts w:asciiTheme="minorEastAsia" w:hAnsiTheme="minorEastAsia" w:eastAsiaTheme="minorEastAsia"/>
          <w:color w:val="000000" w:themeColor="text1"/>
          <w:sz w:val="24"/>
          <w:szCs w:val="24"/>
          <w:highlight w:val="none"/>
          <w:lang w:bidi="en-US"/>
          <w14:textFill>
            <w14:solidFill>
              <w14:schemeClr w14:val="tx1"/>
            </w14:solidFill>
          </w14:textFill>
        </w:rPr>
        <w:t>2）由于Internet上的通路阻塞造成。</w:t>
      </w:r>
    </w:p>
    <w:p w14:paraId="01877E6E">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asciiTheme="minorEastAsia" w:hAnsiTheme="minorEastAsia" w:eastAsiaTheme="minorEastAsia"/>
          <w:color w:val="000000" w:themeColor="text1"/>
          <w:sz w:val="24"/>
          <w:szCs w:val="24"/>
          <w:highlight w:val="none"/>
          <w:lang w:bidi="en-US"/>
          <w14:textFill>
            <w14:solidFill>
              <w14:schemeClr w14:val="tx1"/>
            </w14:solidFill>
          </w14:textFill>
        </w:rPr>
        <w:t>2、如因乙方</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原因造成甲方在</w:t>
      </w:r>
      <w:r>
        <w:rPr>
          <w:rFonts w:asciiTheme="minorEastAsia" w:hAnsiTheme="minorEastAsia" w:eastAsiaTheme="minorEastAsia"/>
          <w:color w:val="000000" w:themeColor="text1"/>
          <w:sz w:val="24"/>
          <w:szCs w:val="24"/>
          <w:highlight w:val="none"/>
          <w:lang w:bidi="en-US"/>
          <w14:textFill>
            <w14:solidFill>
              <w14:schemeClr w14:val="tx1"/>
            </w14:solidFill>
          </w14:textFill>
        </w:rPr>
        <w:t>工作日时间</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连续</w:t>
      </w:r>
      <w:r>
        <w:rPr>
          <w:rFonts w:asciiTheme="minorEastAsia" w:hAnsiTheme="minorEastAsia" w:eastAsiaTheme="minorEastAsia"/>
          <w:color w:val="000000" w:themeColor="text1"/>
          <w:sz w:val="24"/>
          <w:szCs w:val="24"/>
          <w:highlight w:val="none"/>
          <w:u w:val="single"/>
          <w:lang w:bidi="en-US"/>
          <w14:textFill>
            <w14:solidFill>
              <w14:schemeClr w14:val="tx1"/>
            </w14:solidFill>
          </w14:textFill>
        </w:rPr>
        <w:t xml:space="preserve"> 48 </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小时不能正常使用服务的，自届满</w:t>
      </w:r>
      <w:r>
        <w:rPr>
          <w:rFonts w:asciiTheme="minorEastAsia" w:hAnsiTheme="minorEastAsia" w:eastAsiaTheme="minorEastAsia"/>
          <w:color w:val="000000" w:themeColor="text1"/>
          <w:sz w:val="24"/>
          <w:szCs w:val="24"/>
          <w:highlight w:val="none"/>
          <w:lang w:bidi="en-US"/>
          <w14:textFill>
            <w14:solidFill>
              <w14:schemeClr w14:val="tx1"/>
            </w14:solidFill>
          </w14:textFill>
        </w:rPr>
        <w:t>48</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小时后，乙方应按当月服务费的千分之一</w:t>
      </w:r>
      <w:r>
        <w:rPr>
          <w:rFonts w:asciiTheme="minorEastAsia" w:hAnsiTheme="minorEastAsia" w:eastAsiaTheme="minorEastAsia"/>
          <w:color w:val="000000" w:themeColor="text1"/>
          <w:sz w:val="24"/>
          <w:szCs w:val="24"/>
          <w:highlight w:val="none"/>
          <w:lang w:bidi="en-US"/>
          <w14:textFill>
            <w14:solidFill>
              <w14:schemeClr w14:val="tx1"/>
            </w14:solidFill>
          </w14:textFill>
        </w:rPr>
        <w:t>/日向甲方支付违约金，且</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甲方有权选择终止合同，但非乙方控制之内的原因引起的除外；如甲方选择终止合同的，双方按实际服务天数结算服务费用。</w:t>
      </w:r>
    </w:p>
    <w:p w14:paraId="6B25CE9D">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asciiTheme="minorEastAsia" w:hAnsiTheme="minorEastAsia" w:eastAsiaTheme="minorEastAsia"/>
          <w:color w:val="000000" w:themeColor="text1"/>
          <w:sz w:val="24"/>
          <w:szCs w:val="24"/>
          <w:highlight w:val="none"/>
          <w:lang w:bidi="en-US"/>
          <w14:textFill>
            <w14:solidFill>
              <w14:schemeClr w14:val="tx1"/>
            </w14:solidFill>
          </w14:textFill>
        </w:rPr>
        <w:t>3、</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乙方因本合同项下违约行为而导致甲方损失的范围确定，本合同有约定的按照合同约定确定，本合同没有约定的，按照有关法律法规确定。</w:t>
      </w:r>
    </w:p>
    <w:p w14:paraId="66C233D5">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asciiTheme="minorEastAsia" w:hAnsiTheme="minorEastAsia" w:eastAsiaTheme="minorEastAsia"/>
          <w:color w:val="000000" w:themeColor="text1"/>
          <w:sz w:val="24"/>
          <w:szCs w:val="24"/>
          <w:highlight w:val="none"/>
          <w:lang w:bidi="en-US"/>
          <w14:textFill>
            <w14:solidFill>
              <w14:schemeClr w14:val="tx1"/>
            </w14:solidFill>
          </w14:textFill>
        </w:rPr>
        <w:t>4</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、除本合同</w:t>
      </w:r>
      <w:r>
        <w:rPr>
          <w:rFonts w:asciiTheme="minorEastAsia" w:hAnsiTheme="minorEastAsia" w:eastAsiaTheme="minorEastAsia"/>
          <w:color w:val="000000" w:themeColor="text1"/>
          <w:sz w:val="24"/>
          <w:szCs w:val="24"/>
          <w:highlight w:val="none"/>
          <w:lang w:bidi="en-US"/>
          <w14:textFill>
            <w14:solidFill>
              <w14:schemeClr w14:val="tx1"/>
            </w14:solidFill>
          </w14:textFill>
        </w:rPr>
        <w:t>另有约定外</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，乙方对本合同所承担的违约赔偿责任总额不超过当年服务费用总额。</w:t>
      </w:r>
    </w:p>
    <w:p w14:paraId="7ED1B0F4">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lang w:bidi="en-US"/>
          <w14:textFill>
            <w14:solidFill>
              <w14:schemeClr w14:val="tx1"/>
            </w14:solidFill>
          </w14:textFill>
        </w:rPr>
        <w:t>5</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w:t>
      </w:r>
      <w:r>
        <w:rPr>
          <w:rFonts w:hint="eastAsia" w:ascii="宋体" w:hAnsi="宋体"/>
          <w:sz w:val="24"/>
          <w:szCs w:val="24"/>
          <w:highlight w:val="none"/>
          <w:lang w:bidi="en-US"/>
        </w:rPr>
        <w:t>甲方</w:t>
      </w:r>
      <w:r>
        <w:rPr>
          <w:rFonts w:hint="eastAsia" w:ascii="宋体" w:hAnsi="宋体"/>
          <w:sz w:val="24"/>
          <w:szCs w:val="24"/>
          <w:highlight w:val="none"/>
        </w:rPr>
        <w:t>无正当理由逾期支付服务费用的，每逾期一日，应按逾期金额的千分之一向乙方支付违约金。</w:t>
      </w:r>
    </w:p>
    <w:p w14:paraId="5461EC81">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6、任何一方不得</w:t>
      </w:r>
      <w:r>
        <w:rPr>
          <w:rFonts w:hint="eastAsia" w:asciiTheme="minorEastAsia" w:hAnsiTheme="minorEastAsia" w:eastAsiaTheme="minorEastAsia"/>
          <w:color w:val="000000" w:themeColor="text1"/>
          <w:sz w:val="24"/>
          <w:szCs w:val="24"/>
          <w:highlight w:val="none"/>
          <w14:textFill>
            <w14:solidFill>
              <w14:schemeClr w14:val="tx1"/>
            </w14:solidFill>
          </w14:textFill>
        </w:rPr>
        <w:t>擅自解除</w:t>
      </w:r>
      <w:r>
        <w:rPr>
          <w:rFonts w:asciiTheme="minorEastAsia" w:hAnsiTheme="minorEastAsia" w:eastAsiaTheme="minorEastAsia"/>
          <w:color w:val="000000" w:themeColor="text1"/>
          <w:sz w:val="24"/>
          <w:szCs w:val="24"/>
          <w:highlight w:val="none"/>
          <w14:textFill>
            <w14:solidFill>
              <w14:schemeClr w14:val="tx1"/>
            </w14:solidFill>
          </w14:textFill>
        </w:rPr>
        <w:t>合同，否则，违约方应按照当年服务费用</w:t>
      </w:r>
      <w:r>
        <w:rPr>
          <w:rFonts w:hint="eastAsia" w:asciiTheme="minorEastAsia" w:hAnsiTheme="minorEastAsia" w:eastAsiaTheme="minorEastAsia"/>
          <w:color w:val="000000" w:themeColor="text1"/>
          <w:sz w:val="24"/>
          <w:szCs w:val="24"/>
          <w:highlight w:val="none"/>
          <w14:textFill>
            <w14:solidFill>
              <w14:schemeClr w14:val="tx1"/>
            </w14:solidFill>
          </w14:textFill>
        </w:rPr>
        <w:t>的</w:t>
      </w:r>
      <w:r>
        <w:rPr>
          <w:rFonts w:asciiTheme="minorEastAsia" w:hAnsiTheme="minorEastAsia" w:eastAsiaTheme="minorEastAsia"/>
          <w:color w:val="000000" w:themeColor="text1"/>
          <w:sz w:val="24"/>
          <w:szCs w:val="24"/>
          <w:highlight w:val="none"/>
          <w14:textFill>
            <w14:solidFill>
              <w14:schemeClr w14:val="tx1"/>
            </w14:solidFill>
          </w14:textFill>
        </w:rPr>
        <w:t>30%</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向</w:t>
      </w:r>
      <w:r>
        <w:rPr>
          <w:rFonts w:asciiTheme="minorEastAsia" w:hAnsiTheme="minorEastAsia" w:eastAsiaTheme="minorEastAsia"/>
          <w:color w:val="000000" w:themeColor="text1"/>
          <w:sz w:val="24"/>
          <w:szCs w:val="24"/>
          <w:highlight w:val="none"/>
          <w:lang w:bidi="en-US"/>
          <w14:textFill>
            <w14:solidFill>
              <w14:schemeClr w14:val="tx1"/>
            </w14:solidFill>
          </w14:textFill>
        </w:rPr>
        <w:t>守约方支付违约金。</w:t>
      </w:r>
    </w:p>
    <w:p w14:paraId="2F865C99">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asciiTheme="minorEastAsia" w:hAnsiTheme="minorEastAsia" w:eastAsiaTheme="minorEastAsia"/>
          <w:color w:val="000000" w:themeColor="text1"/>
          <w:sz w:val="24"/>
          <w:szCs w:val="24"/>
          <w:highlight w:val="none"/>
          <w:lang w:bidi="en-US"/>
          <w14:textFill>
            <w14:solidFill>
              <w14:schemeClr w14:val="tx1"/>
            </w14:solidFill>
          </w14:textFill>
        </w:rPr>
        <w:t>7、乙方延</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迟履约、不完全履约或提供的服务不符合采购需求文件要求的，除支付违约金外，仍需继续履行合同或重新提供符合要求的服务。</w:t>
      </w:r>
    </w:p>
    <w:p w14:paraId="6650E454">
      <w:pPr>
        <w:adjustRightInd w:val="0"/>
        <w:snapToGrid w:val="0"/>
        <w:spacing w:line="360" w:lineRule="auto"/>
        <w:ind w:firstLine="482" w:firstLineChars="200"/>
        <w:outlineLvl w:val="0"/>
        <w:rPr>
          <w:rFonts w:hint="eastAsia" w:asciiTheme="minorEastAsia" w:hAnsiTheme="minorEastAsia" w:eastAsiaTheme="minorEastAsia"/>
          <w:b/>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b/>
          <w:color w:val="000000" w:themeColor="text1"/>
          <w:sz w:val="24"/>
          <w:szCs w:val="24"/>
          <w:highlight w:val="none"/>
          <w:lang w:bidi="en-US"/>
          <w14:textFill>
            <w14:solidFill>
              <w14:schemeClr w14:val="tx1"/>
            </w14:solidFill>
          </w14:textFill>
        </w:rPr>
        <w:t>十二</w:t>
      </w:r>
      <w:r>
        <w:rPr>
          <w:rFonts w:asciiTheme="minorEastAsia" w:hAnsiTheme="minorEastAsia" w:eastAsiaTheme="minorEastAsia"/>
          <w:b/>
          <w:color w:val="000000" w:themeColor="text1"/>
          <w:sz w:val="24"/>
          <w:szCs w:val="24"/>
          <w:highlight w:val="none"/>
          <w:lang w:bidi="en-US"/>
          <w14:textFill>
            <w14:solidFill>
              <w14:schemeClr w14:val="tx1"/>
            </w14:solidFill>
          </w14:textFill>
        </w:rPr>
        <w:t>、不可抗力</w:t>
      </w:r>
      <w:r>
        <w:rPr>
          <w:rFonts w:hint="eastAsia" w:asciiTheme="minorEastAsia" w:hAnsiTheme="minorEastAsia" w:eastAsiaTheme="minorEastAsia"/>
          <w:b/>
          <w:color w:val="000000" w:themeColor="text1"/>
          <w:sz w:val="24"/>
          <w:szCs w:val="24"/>
          <w:highlight w:val="none"/>
          <w:lang w:bidi="en-US"/>
          <w14:textFill>
            <w14:solidFill>
              <w14:schemeClr w14:val="tx1"/>
            </w14:solidFill>
          </w14:textFill>
        </w:rPr>
        <w:t>及</w:t>
      </w:r>
      <w:r>
        <w:rPr>
          <w:rFonts w:asciiTheme="minorEastAsia" w:hAnsiTheme="minorEastAsia" w:eastAsiaTheme="minorEastAsia"/>
          <w:b/>
          <w:color w:val="000000" w:themeColor="text1"/>
          <w:sz w:val="24"/>
          <w:szCs w:val="24"/>
          <w:highlight w:val="none"/>
          <w:lang w:bidi="en-US"/>
          <w14:textFill>
            <w14:solidFill>
              <w14:schemeClr w14:val="tx1"/>
            </w14:solidFill>
          </w14:textFill>
        </w:rPr>
        <w:t>免责</w:t>
      </w:r>
    </w:p>
    <w:p w14:paraId="61F30AA5">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asciiTheme="minorEastAsia" w:hAnsiTheme="minorEastAsia" w:eastAsiaTheme="minorEastAsia"/>
          <w:color w:val="000000" w:themeColor="text1"/>
          <w:sz w:val="24"/>
          <w:szCs w:val="24"/>
          <w:highlight w:val="none"/>
          <w:lang w:bidi="en-US"/>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以下情形可能导致乙方无法正常提供服务，甲方理解并确认不视为乙方违约，无需乙方承担任何责任：</w:t>
      </w:r>
    </w:p>
    <w:p w14:paraId="75100BD9">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w:t>
      </w:r>
      <w:r>
        <w:rPr>
          <w:rFonts w:asciiTheme="minorEastAsia" w:hAnsiTheme="minorEastAsia" w:eastAsiaTheme="minorEastAsia"/>
          <w:color w:val="000000" w:themeColor="text1"/>
          <w:sz w:val="24"/>
          <w:szCs w:val="24"/>
          <w:highlight w:val="none"/>
          <w:lang w:bidi="en-US"/>
          <w14:textFill>
            <w14:solidFill>
              <w14:schemeClr w14:val="tx1"/>
            </w14:solidFill>
          </w14:textFill>
        </w:rPr>
        <w:t>1）因自然灾害以及战争、罢工、暴乱、政府行为、政府管制等因素；</w:t>
      </w:r>
    </w:p>
    <w:p w14:paraId="1C171EEC">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w:t>
      </w:r>
      <w:r>
        <w:rPr>
          <w:rFonts w:asciiTheme="minorEastAsia" w:hAnsiTheme="minorEastAsia" w:eastAsiaTheme="minorEastAsia"/>
          <w:color w:val="000000" w:themeColor="text1"/>
          <w:sz w:val="24"/>
          <w:szCs w:val="24"/>
          <w:highlight w:val="none"/>
          <w:lang w:bidi="en-US"/>
          <w14:textFill>
            <w14:solidFill>
              <w14:schemeClr w14:val="tx1"/>
            </w14:solidFill>
          </w14:textFill>
        </w:rPr>
        <w:t>2）因电力供应故障、通讯网络故障等因素；</w:t>
      </w:r>
    </w:p>
    <w:p w14:paraId="441F72F0">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w:t>
      </w:r>
      <w:r>
        <w:rPr>
          <w:rFonts w:asciiTheme="minorEastAsia" w:hAnsiTheme="minorEastAsia" w:eastAsiaTheme="minorEastAsia"/>
          <w:color w:val="000000" w:themeColor="text1"/>
          <w:sz w:val="24"/>
          <w:szCs w:val="24"/>
          <w:highlight w:val="none"/>
          <w:lang w:bidi="en-US"/>
          <w14:textFill>
            <w14:solidFill>
              <w14:schemeClr w14:val="tx1"/>
            </w14:solidFill>
          </w14:textFill>
        </w:rPr>
        <w:t>3</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）因黑客、病毒、木马、恶意程序攻击、网络安全等因素；</w:t>
      </w:r>
    </w:p>
    <w:p w14:paraId="28F545CD">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w:t>
      </w:r>
      <w:r>
        <w:rPr>
          <w:rFonts w:asciiTheme="minorEastAsia" w:hAnsiTheme="minorEastAsia" w:eastAsiaTheme="minorEastAsia"/>
          <w:color w:val="000000" w:themeColor="text1"/>
          <w:sz w:val="24"/>
          <w:szCs w:val="24"/>
          <w:highlight w:val="none"/>
          <w:lang w:bidi="en-US"/>
          <w14:textFill>
            <w14:solidFill>
              <w14:schemeClr w14:val="tx1"/>
            </w14:solidFill>
          </w14:textFill>
        </w:rPr>
        <w:t>4）在紧急情况下为维护国家安全、平台其他用户及/或第三方权益等因素；</w:t>
      </w:r>
    </w:p>
    <w:p w14:paraId="5321AEF5">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w:t>
      </w:r>
      <w:r>
        <w:rPr>
          <w:rFonts w:asciiTheme="minorEastAsia" w:hAnsiTheme="minorEastAsia" w:eastAsiaTheme="minorEastAsia"/>
          <w:color w:val="000000" w:themeColor="text1"/>
          <w:sz w:val="24"/>
          <w:szCs w:val="24"/>
          <w:highlight w:val="none"/>
          <w:lang w:bidi="en-US"/>
          <w14:textFill>
            <w14:solidFill>
              <w14:schemeClr w14:val="tx1"/>
            </w14:solidFill>
          </w14:textFill>
        </w:rPr>
        <w:t>5）甲方操作不当或甲方的上网设备软硬件出现故障等非乙方因素；</w:t>
      </w:r>
    </w:p>
    <w:p w14:paraId="676E6F9F">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w:t>
      </w:r>
      <w:r>
        <w:rPr>
          <w:rFonts w:asciiTheme="minorEastAsia" w:hAnsiTheme="minorEastAsia" w:eastAsiaTheme="minorEastAsia"/>
          <w:color w:val="000000" w:themeColor="text1"/>
          <w:sz w:val="24"/>
          <w:szCs w:val="24"/>
          <w:highlight w:val="none"/>
          <w:lang w:bidi="en-US"/>
          <w14:textFill>
            <w14:solidFill>
              <w14:schemeClr w14:val="tx1"/>
            </w14:solidFill>
          </w14:textFill>
        </w:rPr>
        <w:t>6）国家法律法规、规章变动，或财政部门</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做出</w:t>
      </w:r>
      <w:r>
        <w:rPr>
          <w:rFonts w:asciiTheme="minorEastAsia" w:hAnsiTheme="minorEastAsia" w:eastAsiaTheme="minorEastAsia"/>
          <w:color w:val="000000" w:themeColor="text1"/>
          <w:sz w:val="24"/>
          <w:szCs w:val="24"/>
          <w:highlight w:val="none"/>
          <w:lang w:bidi="en-US"/>
          <w14:textFill>
            <w14:solidFill>
              <w14:schemeClr w14:val="tx1"/>
            </w14:solidFill>
          </w14:textFill>
        </w:rPr>
        <w:t>有关限制操作。</w:t>
      </w:r>
    </w:p>
    <w:p w14:paraId="2525CE45">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尽管有前款约定，乙方应采取合理行动积极促使服务恢复正常。</w:t>
      </w:r>
    </w:p>
    <w:p w14:paraId="3E3CD652">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lang w:bidi="en-US"/>
          <w14:textFill>
            <w14:solidFill>
              <w14:schemeClr w14:val="tx1"/>
            </w14:solidFill>
          </w14:textFill>
        </w:rPr>
        <w:t>2、</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如一方受</w:t>
      </w:r>
      <w:r>
        <w:rPr>
          <w:rFonts w:asciiTheme="minorEastAsia" w:hAnsiTheme="minorEastAsia" w:eastAsiaTheme="minorEastAsia"/>
          <w:color w:val="000000" w:themeColor="text1"/>
          <w:sz w:val="24"/>
          <w:szCs w:val="24"/>
          <w:highlight w:val="none"/>
          <w:lang w:bidi="en-US"/>
          <w14:textFill>
            <w14:solidFill>
              <w14:schemeClr w14:val="tx1"/>
            </w14:solidFill>
          </w14:textFill>
        </w:rPr>
        <w:t>上述</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不可抗力或者意外事件的</w:t>
      </w:r>
      <w:r>
        <w:rPr>
          <w:rFonts w:asciiTheme="minorEastAsia" w:hAnsiTheme="minorEastAsia" w:eastAsiaTheme="minorEastAsia"/>
          <w:color w:val="000000" w:themeColor="text1"/>
          <w:sz w:val="24"/>
          <w:szCs w:val="24"/>
          <w:highlight w:val="none"/>
          <w:lang w:bidi="en-US"/>
          <w14:textFill>
            <w14:solidFill>
              <w14:schemeClr w14:val="tx1"/>
            </w14:solidFill>
          </w14:textFill>
        </w:rPr>
        <w:t>影响</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，使得本合同的履行不可能、不必要或者无意义的，受影响</w:t>
      </w:r>
      <w:r>
        <w:rPr>
          <w:rFonts w:hint="eastAsia" w:asciiTheme="minorEastAsia" w:hAnsiTheme="minorEastAsia" w:eastAsiaTheme="minorEastAsia"/>
          <w:color w:val="000000" w:themeColor="text1"/>
          <w:sz w:val="24"/>
          <w:szCs w:val="24"/>
          <w:highlight w:val="none"/>
          <w14:textFill>
            <w14:solidFill>
              <w14:schemeClr w14:val="tx1"/>
            </w14:solidFill>
          </w14:textFill>
        </w:rPr>
        <w:t>一方应尽快</w:t>
      </w:r>
      <w:r>
        <w:rPr>
          <w:rFonts w:asciiTheme="minorEastAsia" w:hAnsiTheme="minorEastAsia" w:eastAsiaTheme="minorEastAsia"/>
          <w:color w:val="000000" w:themeColor="text1"/>
          <w:sz w:val="24"/>
          <w:szCs w:val="24"/>
          <w:highlight w:val="none"/>
          <w14:textFill>
            <w14:solidFill>
              <w14:schemeClr w14:val="tx1"/>
            </w14:solidFill>
          </w14:textFill>
        </w:rPr>
        <w:t>通知对方</w:t>
      </w:r>
      <w:r>
        <w:rPr>
          <w:rFonts w:hint="eastAsia" w:asciiTheme="minorEastAsia" w:hAnsiTheme="minorEastAsia" w:eastAsiaTheme="minorEastAsia"/>
          <w:color w:val="000000" w:themeColor="text1"/>
          <w:sz w:val="24"/>
          <w:szCs w:val="24"/>
          <w:highlight w:val="none"/>
          <w14:textFill>
            <w14:solidFill>
              <w14:schemeClr w14:val="tx1"/>
            </w14:solidFill>
          </w14:textFill>
        </w:rPr>
        <w:t>，并协商适当延长合同的期限。在影响消除后，受影响方应及时通知对方，本合同继续执行。</w:t>
      </w:r>
    </w:p>
    <w:p w14:paraId="44737F07">
      <w:pPr>
        <w:adjustRightInd w:val="0"/>
        <w:snapToGrid w:val="0"/>
        <w:spacing w:line="360" w:lineRule="auto"/>
        <w:ind w:firstLine="482" w:firstLineChars="200"/>
        <w:outlineLvl w:val="0"/>
        <w:rPr>
          <w:rFonts w:hint="eastAsia"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十三</w:t>
      </w: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14:textFill>
            <w14:solidFill>
              <w14:schemeClr w14:val="tx1"/>
            </w14:solidFill>
          </w14:textFill>
        </w:rPr>
        <w:t>法律适用与争议解决</w:t>
      </w:r>
    </w:p>
    <w:p w14:paraId="1257CB8E">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、本合同的订立、执行、解释及争议解决，均适用中华人民共和国法律。</w:t>
      </w:r>
    </w:p>
    <w:p w14:paraId="1355DBA1">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、本合同履行过程</w:t>
      </w:r>
      <w:r>
        <w:rPr>
          <w:rFonts w:asciiTheme="minorEastAsia" w:hAnsiTheme="minorEastAsia" w:eastAsiaTheme="minorEastAsia"/>
          <w:color w:val="000000" w:themeColor="text1"/>
          <w:sz w:val="24"/>
          <w:szCs w:val="24"/>
          <w:highlight w:val="none"/>
          <w14:textFill>
            <w14:solidFill>
              <w14:schemeClr w14:val="tx1"/>
            </w14:solidFill>
          </w14:textFill>
        </w:rPr>
        <w:t>中如发生争议的，</w:t>
      </w:r>
      <w:r>
        <w:rPr>
          <w:rFonts w:hint="eastAsia" w:asciiTheme="minorEastAsia" w:hAnsiTheme="minorEastAsia" w:eastAsiaTheme="minorEastAsia"/>
          <w:color w:val="000000" w:themeColor="text1"/>
          <w:sz w:val="24"/>
          <w:szCs w:val="24"/>
          <w:highlight w:val="none"/>
          <w14:textFill>
            <w14:solidFill>
              <w14:schemeClr w14:val="tx1"/>
            </w14:solidFill>
          </w14:textFill>
        </w:rPr>
        <w:t>双方应友好协商；协商不成的，任何一方均可向被告所在地人民法院提起诉讼。</w:t>
      </w:r>
    </w:p>
    <w:p w14:paraId="5EE1EC8A">
      <w:pPr>
        <w:adjustRightInd w:val="0"/>
        <w:snapToGrid w:val="0"/>
        <w:spacing w:line="360" w:lineRule="auto"/>
        <w:ind w:firstLine="482" w:firstLineChars="200"/>
        <w:outlineLvl w:val="0"/>
        <w:rPr>
          <w:rFonts w:hint="eastAsia"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十四、合同</w:t>
      </w:r>
      <w:r>
        <w:rPr>
          <w:rFonts w:asciiTheme="minorEastAsia" w:hAnsiTheme="minorEastAsia" w:eastAsiaTheme="minorEastAsia"/>
          <w:b/>
          <w:color w:val="000000" w:themeColor="text1"/>
          <w:sz w:val="24"/>
          <w:szCs w:val="24"/>
          <w:highlight w:val="none"/>
          <w14:textFill>
            <w14:solidFill>
              <w14:schemeClr w14:val="tx1"/>
            </w14:solidFill>
          </w14:textFill>
        </w:rPr>
        <w:t>生效</w:t>
      </w:r>
      <w:r>
        <w:rPr>
          <w:rFonts w:hint="eastAsia" w:asciiTheme="minorEastAsia" w:hAnsiTheme="minorEastAsia" w:eastAsiaTheme="minorEastAsia"/>
          <w:b/>
          <w:color w:val="000000" w:themeColor="text1"/>
          <w:sz w:val="24"/>
          <w:szCs w:val="24"/>
          <w:highlight w:val="none"/>
          <w14:textFill>
            <w14:solidFill>
              <w14:schemeClr w14:val="tx1"/>
            </w14:solidFill>
          </w14:textFill>
        </w:rPr>
        <w:t>、</w:t>
      </w:r>
      <w:r>
        <w:rPr>
          <w:rFonts w:asciiTheme="minorEastAsia" w:hAnsiTheme="minorEastAsia" w:eastAsiaTheme="minorEastAsia"/>
          <w:b/>
          <w:color w:val="000000" w:themeColor="text1"/>
          <w:sz w:val="24"/>
          <w:szCs w:val="24"/>
          <w:highlight w:val="none"/>
          <w14:textFill>
            <w14:solidFill>
              <w14:schemeClr w14:val="tx1"/>
            </w14:solidFill>
          </w14:textFill>
        </w:rPr>
        <w:t>变更</w:t>
      </w:r>
      <w:r>
        <w:rPr>
          <w:rFonts w:hint="eastAsia" w:asciiTheme="minorEastAsia" w:hAnsiTheme="minorEastAsia" w:eastAsiaTheme="minorEastAsia"/>
          <w:b/>
          <w:color w:val="000000" w:themeColor="text1"/>
          <w:sz w:val="24"/>
          <w:szCs w:val="24"/>
          <w:highlight w:val="none"/>
          <w14:textFill>
            <w14:solidFill>
              <w14:schemeClr w14:val="tx1"/>
            </w14:solidFill>
          </w14:textFill>
        </w:rPr>
        <w:t>及</w:t>
      </w:r>
      <w:r>
        <w:rPr>
          <w:rFonts w:asciiTheme="minorEastAsia" w:hAnsiTheme="minorEastAsia" w:eastAsiaTheme="minorEastAsia"/>
          <w:b/>
          <w:color w:val="000000" w:themeColor="text1"/>
          <w:sz w:val="24"/>
          <w:szCs w:val="24"/>
          <w:highlight w:val="none"/>
          <w14:textFill>
            <w14:solidFill>
              <w14:schemeClr w14:val="tx1"/>
            </w14:solidFill>
          </w14:textFill>
        </w:rPr>
        <w:t>终止</w:t>
      </w:r>
    </w:p>
    <w:p w14:paraId="7B6377C0">
      <w:pPr>
        <w:adjustRightInd w:val="0"/>
        <w:snapToGrid w:val="0"/>
        <w:spacing w:line="360" w:lineRule="auto"/>
        <w:ind w:firstLine="480" w:firstLineChars="200"/>
        <w:rPr>
          <w:rFonts w:hint="eastAsia" w:asciiTheme="minorEastAsia" w:hAnsiTheme="minorEastAsia"/>
          <w:bCs/>
          <w:color w:val="000000" w:themeColor="text1"/>
          <w:sz w:val="24"/>
          <w:szCs w:val="24"/>
          <w:highlight w:val="none"/>
          <w:lang w:bidi="en-US"/>
          <w14:textFill>
            <w14:solidFill>
              <w14:schemeClr w14:val="tx1"/>
            </w14:solidFill>
          </w14:textFill>
        </w:rPr>
      </w:pPr>
      <w:r>
        <w:rPr>
          <w:rFonts w:eastAsia="Calibri" w:cs="Calibri"/>
          <w:sz w:val="24"/>
          <w:highlight w:val="none"/>
        </w:rPr>
        <w:t>1</w:t>
      </w:r>
      <w:r>
        <w:rPr>
          <w:rFonts w:ascii="宋体" w:hAnsi="宋体" w:cs="宋体"/>
          <w:sz w:val="24"/>
          <w:highlight w:val="none"/>
        </w:rPr>
        <w:t>、本合同有效期：</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本合同有效</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期</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自本合同生效之日起至</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服务期限</w:t>
      </w:r>
      <w:r>
        <w:rPr>
          <w:rFonts w:asciiTheme="minorEastAsia" w:hAnsiTheme="minorEastAsia" w:eastAsiaTheme="minorEastAsia"/>
          <w:bCs/>
          <w:color w:val="000000" w:themeColor="text1"/>
          <w:sz w:val="24"/>
          <w:szCs w:val="24"/>
          <w:highlight w:val="none"/>
          <w:lang w:bidi="en-US"/>
          <w14:textFill>
            <w14:solidFill>
              <w14:schemeClr w14:val="tx1"/>
            </w14:solidFill>
          </w14:textFill>
        </w:rPr>
        <w:t>届满之日止。</w:t>
      </w:r>
      <w:r>
        <w:rPr>
          <w:rFonts w:hint="eastAsia" w:asciiTheme="minorEastAsia" w:hAnsiTheme="minorEastAsia"/>
          <w:bCs/>
          <w:color w:val="000000" w:themeColor="text1"/>
          <w:sz w:val="24"/>
          <w:szCs w:val="24"/>
          <w:highlight w:val="none"/>
          <w:lang w:bidi="en-US"/>
          <w14:textFill>
            <w14:solidFill>
              <w14:schemeClr w14:val="tx1"/>
            </w14:solidFill>
          </w14:textFill>
        </w:rPr>
        <w:t>在项目需求相对固定且价格波动不大的情况下，</w:t>
      </w:r>
      <w:r>
        <w:rPr>
          <w:rFonts w:hint="eastAsia" w:asciiTheme="minorEastAsia" w:hAnsiTheme="minorEastAsia" w:eastAsiaTheme="minorEastAsia"/>
          <w:bCs/>
          <w:color w:val="000000" w:themeColor="text1"/>
          <w:sz w:val="24"/>
          <w:szCs w:val="24"/>
          <w:highlight w:val="none"/>
          <w:lang w:bidi="en-US"/>
          <w14:textFill>
            <w14:solidFill>
              <w14:schemeClr w14:val="tx1"/>
            </w14:solidFill>
          </w14:textFill>
        </w:rPr>
        <w:t>本合同有效期届满前30日内，如双方对合同内容无异议的，则本合同自有效期届满之次日起</w:t>
      </w:r>
      <w:r>
        <w:rPr>
          <w:rFonts w:hint="eastAsia" w:asciiTheme="minorEastAsia" w:hAnsiTheme="minorEastAsia"/>
          <w:bCs/>
          <w:color w:val="000000" w:themeColor="text1"/>
          <w:sz w:val="24"/>
          <w:szCs w:val="24"/>
          <w:highlight w:val="none"/>
          <w:lang w:bidi="en-US"/>
          <w14:textFill>
            <w14:solidFill>
              <w14:schemeClr w14:val="tx1"/>
            </w14:solidFill>
          </w14:textFill>
        </w:rPr>
        <w:t>顺延合同，可连续顺延两年。</w:t>
      </w:r>
    </w:p>
    <w:p w14:paraId="6F55DFF4">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、本合同自双方签章之日起生效，合同一式</w:t>
      </w:r>
      <w:r>
        <w:rPr>
          <w:rFonts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szCs w:val="24"/>
          <w:highlight w:val="none"/>
          <w:u w:val="single"/>
          <w14:textFill>
            <w14:solidFill>
              <w14:schemeClr w14:val="tx1"/>
            </w14:solidFill>
          </w14:textFill>
        </w:rPr>
        <w:t>肆</w:t>
      </w:r>
      <w:r>
        <w:rPr>
          <w:rFonts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14:textFill>
            <w14:solidFill>
              <w14:schemeClr w14:val="tx1"/>
            </w14:solidFill>
          </w14:textFill>
        </w:rPr>
        <w:t>份，双方各执</w:t>
      </w:r>
      <w:r>
        <w:rPr>
          <w:rFonts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szCs w:val="24"/>
          <w:highlight w:val="none"/>
          <w:u w:val="single"/>
          <w14:textFill>
            <w14:solidFill>
              <w14:schemeClr w14:val="tx1"/>
            </w14:solidFill>
          </w14:textFill>
        </w:rPr>
        <w:t>贰</w:t>
      </w:r>
      <w:r>
        <w:rPr>
          <w:rFonts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14:textFill>
            <w14:solidFill>
              <w14:schemeClr w14:val="tx1"/>
            </w14:solidFill>
          </w14:textFill>
        </w:rPr>
        <w:t>份，具有同等法律效力。</w:t>
      </w:r>
    </w:p>
    <w:p w14:paraId="197EFD35">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、本合同的任何修改、变更，必须经双方共同签署书面协议才能生效，但双方另行约定的除外。</w:t>
      </w:r>
    </w:p>
    <w:p w14:paraId="1A08940B">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、本合同于下列任一情形出现时终止：</w:t>
      </w:r>
    </w:p>
    <w:p w14:paraId="22BCEE3C">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）合同期限届满双方决定不再续签的；</w:t>
      </w:r>
    </w:p>
    <w:p w14:paraId="7799CF95">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双方协商</w:t>
      </w:r>
      <w:r>
        <w:rPr>
          <w:rFonts w:asciiTheme="minorEastAsia" w:hAnsiTheme="minorEastAsia" w:eastAsiaTheme="minorEastAsia"/>
          <w:color w:val="000000" w:themeColor="text1"/>
          <w:sz w:val="24"/>
          <w:szCs w:val="24"/>
          <w:highlight w:val="none"/>
          <w14:textFill>
            <w14:solidFill>
              <w14:schemeClr w14:val="tx1"/>
            </w14:solidFill>
          </w14:textFill>
        </w:rPr>
        <w:t>一致提前终止的</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14:paraId="085101AD">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一方未履行或违反依据本</w:t>
      </w:r>
      <w:r>
        <w:rPr>
          <w:rFonts w:hint="eastAsia" w:asciiTheme="minorEastAsia" w:hAnsiTheme="minorEastAsia" w:eastAsiaTheme="minorEastAsia"/>
          <w:color w:val="000000" w:themeColor="text1"/>
          <w:sz w:val="24"/>
          <w:szCs w:val="24"/>
          <w:highlight w:val="none"/>
          <w14:textFill>
            <w14:solidFill>
              <w14:schemeClr w14:val="tx1"/>
            </w14:solidFill>
          </w14:textFill>
        </w:rPr>
        <w:t>合同</w:t>
      </w:r>
      <w:r>
        <w:rPr>
          <w:rFonts w:asciiTheme="minorEastAsia" w:hAnsiTheme="minorEastAsia" w:eastAsiaTheme="minorEastAsia"/>
          <w:color w:val="000000" w:themeColor="text1"/>
          <w:sz w:val="24"/>
          <w:szCs w:val="24"/>
          <w:highlight w:val="none"/>
          <w14:textFill>
            <w14:solidFill>
              <w14:schemeClr w14:val="tx1"/>
            </w14:solidFill>
          </w14:textFill>
        </w:rPr>
        <w:t>所应承担的义务，经另一方给予一定期限仍不履行义务或不予采取补救措施，致使另一方依据本</w:t>
      </w:r>
      <w:r>
        <w:rPr>
          <w:rFonts w:hint="eastAsia" w:asciiTheme="minorEastAsia" w:hAnsiTheme="minorEastAsia" w:eastAsiaTheme="minorEastAsia"/>
          <w:color w:val="000000" w:themeColor="text1"/>
          <w:sz w:val="24"/>
          <w:szCs w:val="24"/>
          <w:highlight w:val="none"/>
          <w14:textFill>
            <w14:solidFill>
              <w14:schemeClr w14:val="tx1"/>
            </w14:solidFill>
          </w14:textFill>
        </w:rPr>
        <w:t>合同</w:t>
      </w:r>
      <w:r>
        <w:rPr>
          <w:rFonts w:asciiTheme="minorEastAsia" w:hAnsiTheme="minorEastAsia" w:eastAsiaTheme="minorEastAsia"/>
          <w:color w:val="000000" w:themeColor="text1"/>
          <w:sz w:val="24"/>
          <w:szCs w:val="24"/>
          <w:highlight w:val="none"/>
          <w14:textFill>
            <w14:solidFill>
              <w14:schemeClr w14:val="tx1"/>
            </w14:solidFill>
          </w14:textFill>
        </w:rPr>
        <w:t>的预期利益无法实现或</w:t>
      </w:r>
      <w:r>
        <w:rPr>
          <w:rFonts w:hint="eastAsia" w:asciiTheme="minorEastAsia" w:hAnsiTheme="minorEastAsia" w:eastAsiaTheme="minorEastAsia"/>
          <w:color w:val="000000" w:themeColor="text1"/>
          <w:sz w:val="24"/>
          <w:szCs w:val="24"/>
          <w:highlight w:val="none"/>
          <w14:textFill>
            <w14:solidFill>
              <w14:schemeClr w14:val="tx1"/>
            </w14:solidFill>
          </w14:textFill>
        </w:rPr>
        <w:t>合同</w:t>
      </w:r>
      <w:r>
        <w:rPr>
          <w:rFonts w:asciiTheme="minorEastAsia" w:hAnsiTheme="minorEastAsia" w:eastAsiaTheme="minorEastAsia"/>
          <w:color w:val="000000" w:themeColor="text1"/>
          <w:sz w:val="24"/>
          <w:szCs w:val="24"/>
          <w:highlight w:val="none"/>
          <w14:textFill>
            <w14:solidFill>
              <w14:schemeClr w14:val="tx1"/>
            </w14:solidFill>
          </w14:textFill>
        </w:rPr>
        <w:t>继续履行没有必要，另一方有权</w:t>
      </w:r>
      <w:r>
        <w:rPr>
          <w:rFonts w:hint="eastAsia" w:asciiTheme="minorEastAsia" w:hAnsiTheme="minorEastAsia" w:eastAsiaTheme="minorEastAsia"/>
          <w:color w:val="000000" w:themeColor="text1"/>
          <w:sz w:val="24"/>
          <w:szCs w:val="24"/>
          <w:highlight w:val="none"/>
          <w14:textFill>
            <w14:solidFill>
              <w14:schemeClr w14:val="tx1"/>
            </w14:solidFill>
          </w14:textFill>
        </w:rPr>
        <w:t>提前终止本协议；</w:t>
      </w:r>
    </w:p>
    <w:p w14:paraId="76E821EF">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）乙方宣布破产或进入清算或解散程序的。</w:t>
      </w:r>
    </w:p>
    <w:p w14:paraId="5EE9CBEA">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5</w:t>
      </w:r>
      <w:r>
        <w:rPr>
          <w:rFonts w:hint="eastAsia" w:asciiTheme="minorEastAsia" w:hAnsiTheme="minorEastAsia" w:eastAsiaTheme="minorEastAsia"/>
          <w:color w:val="000000" w:themeColor="text1"/>
          <w:sz w:val="24"/>
          <w:szCs w:val="24"/>
          <w:highlight w:val="none"/>
          <w14:textFill>
            <w14:solidFill>
              <w14:schemeClr w14:val="tx1"/>
            </w14:solidFill>
          </w14:textFill>
        </w:rPr>
        <w:t>、本合同因</w:t>
      </w:r>
      <w:r>
        <w:rPr>
          <w:rFonts w:asciiTheme="minorEastAsia" w:hAnsiTheme="minorEastAsia" w:eastAsiaTheme="minorEastAsia"/>
          <w:color w:val="000000" w:themeColor="text1"/>
          <w:sz w:val="24"/>
          <w:szCs w:val="24"/>
          <w:highlight w:val="none"/>
          <w14:textFill>
            <w14:solidFill>
              <w14:schemeClr w14:val="tx1"/>
            </w14:solidFill>
          </w14:textFill>
        </w:rPr>
        <w:t>前款第（1）</w:t>
      </w:r>
      <w:r>
        <w:rPr>
          <w:rFonts w:hint="eastAsia" w:asciiTheme="minorEastAsia" w:hAnsiTheme="minorEastAsia" w:eastAsiaTheme="minorEastAsia"/>
          <w:color w:val="000000" w:themeColor="text1"/>
          <w:sz w:val="24"/>
          <w:szCs w:val="24"/>
          <w:highlight w:val="none"/>
          <w14:textFill>
            <w14:solidFill>
              <w14:schemeClr w14:val="tx1"/>
            </w14:solidFill>
          </w14:textFill>
        </w:rPr>
        <w:t>、（2）</w:t>
      </w: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项</w:t>
      </w:r>
      <w:r>
        <w:rPr>
          <w:rFonts w:asciiTheme="minorEastAsia" w:hAnsiTheme="minorEastAsia" w:eastAsiaTheme="minorEastAsia"/>
          <w:color w:val="000000" w:themeColor="text1"/>
          <w:sz w:val="24"/>
          <w:szCs w:val="24"/>
          <w:highlight w:val="none"/>
          <w14:textFill>
            <w14:solidFill>
              <w14:schemeClr w14:val="tx1"/>
            </w14:solidFill>
          </w14:textFill>
        </w:rPr>
        <w:t>原因终止的，</w:t>
      </w:r>
      <w:r>
        <w:rPr>
          <w:rFonts w:hint="eastAsia" w:asciiTheme="minorEastAsia" w:hAnsiTheme="minorEastAsia" w:eastAsiaTheme="minorEastAsia"/>
          <w:color w:val="000000" w:themeColor="text1"/>
          <w:sz w:val="24"/>
          <w:szCs w:val="24"/>
          <w:highlight w:val="none"/>
          <w14:textFill>
            <w14:solidFill>
              <w14:schemeClr w14:val="tx1"/>
            </w14:solidFill>
          </w14:textFill>
        </w:rPr>
        <w:t>服务</w:t>
      </w:r>
      <w:r>
        <w:rPr>
          <w:rFonts w:asciiTheme="minorEastAsia" w:hAnsiTheme="minorEastAsia" w:eastAsiaTheme="minorEastAsia"/>
          <w:color w:val="000000" w:themeColor="text1"/>
          <w:sz w:val="24"/>
          <w:szCs w:val="24"/>
          <w:highlight w:val="none"/>
          <w14:textFill>
            <w14:solidFill>
              <w14:schemeClr w14:val="tx1"/>
            </w14:solidFill>
          </w14:textFill>
        </w:rPr>
        <w:t>费用据实结算，</w:t>
      </w:r>
      <w:r>
        <w:rPr>
          <w:rFonts w:hint="eastAsia" w:asciiTheme="minorEastAsia" w:hAnsiTheme="minorEastAsia" w:eastAsiaTheme="minorEastAsia"/>
          <w:color w:val="000000" w:themeColor="text1"/>
          <w:sz w:val="24"/>
          <w:szCs w:val="24"/>
          <w:highlight w:val="none"/>
          <w14:textFill>
            <w14:solidFill>
              <w14:schemeClr w14:val="tx1"/>
            </w14:solidFill>
          </w14:textFill>
        </w:rPr>
        <w:t>双方</w:t>
      </w:r>
      <w:r>
        <w:rPr>
          <w:rFonts w:asciiTheme="minorEastAsia" w:hAnsiTheme="minorEastAsia" w:eastAsia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olor w:val="000000" w:themeColor="text1"/>
          <w:sz w:val="24"/>
          <w:szCs w:val="24"/>
          <w:highlight w:val="none"/>
          <w14:textFill>
            <w14:solidFill>
              <w14:schemeClr w14:val="tx1"/>
            </w14:solidFill>
          </w14:textFill>
        </w:rPr>
        <w:t>按照</w:t>
      </w:r>
      <w:r>
        <w:rPr>
          <w:rFonts w:asciiTheme="minorEastAsia" w:hAnsiTheme="minorEastAsia" w:eastAsiaTheme="minorEastAsia"/>
          <w:color w:val="000000" w:themeColor="text1"/>
          <w:sz w:val="24"/>
          <w:szCs w:val="24"/>
          <w:highlight w:val="none"/>
          <w14:textFill>
            <w14:solidFill>
              <w14:schemeClr w14:val="tx1"/>
            </w14:solidFill>
          </w14:textFill>
        </w:rPr>
        <w:t>第七条第5款的规定迁移</w:t>
      </w:r>
      <w:r>
        <w:rPr>
          <w:rFonts w:hint="eastAsia" w:asciiTheme="minorEastAsia" w:hAnsiTheme="minorEastAsia" w:eastAsiaTheme="minorEastAsia"/>
          <w:color w:val="000000" w:themeColor="text1"/>
          <w:sz w:val="24"/>
          <w:szCs w:val="24"/>
          <w:highlight w:val="none"/>
          <w14:textFill>
            <w14:solidFill>
              <w14:schemeClr w14:val="tx1"/>
            </w14:solidFill>
          </w14:textFill>
        </w:rPr>
        <w:t>或</w:t>
      </w:r>
      <w:r>
        <w:rPr>
          <w:rFonts w:asciiTheme="minorEastAsia" w:hAnsiTheme="minorEastAsia" w:eastAsiaTheme="minorEastAsia"/>
          <w:color w:val="000000" w:themeColor="text1"/>
          <w:sz w:val="24"/>
          <w:szCs w:val="24"/>
          <w:highlight w:val="none"/>
          <w14:textFill>
            <w14:solidFill>
              <w14:schemeClr w14:val="tx1"/>
            </w14:solidFill>
          </w14:textFill>
        </w:rPr>
        <w:t>销毁业务数据。</w:t>
      </w:r>
      <w:r>
        <w:rPr>
          <w:rFonts w:hint="eastAsia" w:asciiTheme="minorEastAsia" w:hAnsiTheme="minorEastAsia" w:eastAsiaTheme="minorEastAsia"/>
          <w:color w:val="000000" w:themeColor="text1"/>
          <w:sz w:val="24"/>
          <w:szCs w:val="24"/>
          <w:highlight w:val="none"/>
          <w14:textFill>
            <w14:solidFill>
              <w14:schemeClr w14:val="tx1"/>
            </w14:solidFill>
          </w14:textFill>
        </w:rPr>
        <w:t>本合同</w:t>
      </w:r>
      <w:r>
        <w:rPr>
          <w:rFonts w:asciiTheme="minorEastAsia" w:hAnsiTheme="minorEastAsia" w:eastAsiaTheme="minorEastAsia"/>
          <w:color w:val="000000" w:themeColor="text1"/>
          <w:sz w:val="24"/>
          <w:szCs w:val="24"/>
          <w:highlight w:val="none"/>
          <w14:textFill>
            <w14:solidFill>
              <w14:schemeClr w14:val="tx1"/>
            </w14:solidFill>
          </w14:textFill>
        </w:rPr>
        <w:t>因前款第（3）</w:t>
      </w:r>
      <w:r>
        <w:rPr>
          <w:rFonts w:hint="eastAsia" w:asciiTheme="minorEastAsia" w:hAnsiTheme="minorEastAsia" w:eastAsiaTheme="minorEastAsia"/>
          <w:color w:val="000000" w:themeColor="text1"/>
          <w:sz w:val="24"/>
          <w:szCs w:val="24"/>
          <w:highlight w:val="none"/>
          <w14:textFill>
            <w14:solidFill>
              <w14:schemeClr w14:val="tx1"/>
            </w14:solidFill>
          </w14:textFill>
        </w:rPr>
        <w:t>项</w:t>
      </w:r>
      <w:r>
        <w:rPr>
          <w:rFonts w:asciiTheme="minorEastAsia" w:hAnsiTheme="minorEastAsia" w:eastAsiaTheme="minorEastAsia"/>
          <w:color w:val="000000" w:themeColor="text1"/>
          <w:sz w:val="24"/>
          <w:szCs w:val="24"/>
          <w:highlight w:val="none"/>
          <w14:textFill>
            <w14:solidFill>
              <w14:schemeClr w14:val="tx1"/>
            </w14:solidFill>
          </w14:textFill>
        </w:rPr>
        <w:t>原因终止的，</w:t>
      </w:r>
      <w:r>
        <w:rPr>
          <w:rFonts w:hint="eastAsia" w:asciiTheme="minorEastAsia" w:hAnsiTheme="minorEastAsia" w:eastAsiaTheme="minorEastAsia"/>
          <w:color w:val="000000" w:themeColor="text1"/>
          <w:sz w:val="24"/>
          <w:szCs w:val="24"/>
          <w:highlight w:val="none"/>
          <w14:textFill>
            <w14:solidFill>
              <w14:schemeClr w14:val="tx1"/>
            </w14:solidFill>
          </w14:textFill>
        </w:rPr>
        <w:t>违约</w:t>
      </w:r>
      <w:r>
        <w:rPr>
          <w:rFonts w:asciiTheme="minorEastAsia" w:hAnsiTheme="minorEastAsia" w:eastAsiaTheme="minorEastAsia"/>
          <w:color w:val="000000" w:themeColor="text1"/>
          <w:sz w:val="24"/>
          <w:szCs w:val="24"/>
          <w:highlight w:val="none"/>
          <w14:textFill>
            <w14:solidFill>
              <w14:schemeClr w14:val="tx1"/>
            </w14:solidFill>
          </w14:textFill>
        </w:rPr>
        <w:t>方应向守约方支付相当于当年服务费用</w:t>
      </w:r>
      <w:r>
        <w:rPr>
          <w:rFonts w:hint="eastAsia" w:asciiTheme="minorEastAsia" w:hAnsiTheme="minorEastAsia" w:eastAsiaTheme="minorEastAsia"/>
          <w:bCs/>
          <w:color w:val="000000" w:themeColor="text1"/>
          <w:sz w:val="24"/>
          <w:szCs w:val="24"/>
          <w:highlight w:val="none"/>
          <w14:textFill>
            <w14:solidFill>
              <w14:schemeClr w14:val="tx1"/>
            </w14:solidFill>
          </w14:textFill>
        </w:rPr>
        <w:t>金额</w:t>
      </w:r>
      <w:r>
        <w:rPr>
          <w:rFonts w:asciiTheme="minorEastAsia" w:hAnsiTheme="minorEastAsia" w:eastAsiaTheme="minorEastAsia"/>
          <w:bCs/>
          <w:color w:val="000000" w:themeColor="text1"/>
          <w:sz w:val="24"/>
          <w:szCs w:val="24"/>
          <w:highlight w:val="none"/>
          <w14:textFill>
            <w14:solidFill>
              <w14:schemeClr w14:val="tx1"/>
            </w14:solidFill>
          </w14:textFill>
        </w:rPr>
        <w:t>30%</w:t>
      </w:r>
      <w:r>
        <w:rPr>
          <w:rFonts w:hint="eastAsia" w:asciiTheme="minorEastAsia" w:hAnsiTheme="minorEastAsia" w:eastAsiaTheme="minorEastAsia"/>
          <w:bCs/>
          <w:color w:val="000000" w:themeColor="text1"/>
          <w:sz w:val="24"/>
          <w:szCs w:val="24"/>
          <w:highlight w:val="none"/>
          <w14:textFill>
            <w14:solidFill>
              <w14:schemeClr w14:val="tx1"/>
            </w14:solidFill>
          </w14:textFill>
        </w:rPr>
        <w:t>的</w:t>
      </w:r>
      <w:r>
        <w:rPr>
          <w:rFonts w:asciiTheme="minorEastAsia" w:hAnsiTheme="minorEastAsia" w:eastAsiaTheme="minorEastAsia"/>
          <w:bCs/>
          <w:color w:val="000000" w:themeColor="text1"/>
          <w:sz w:val="24"/>
          <w:szCs w:val="24"/>
          <w:highlight w:val="none"/>
          <w14:textFill>
            <w14:solidFill>
              <w14:schemeClr w14:val="tx1"/>
            </w14:solidFill>
          </w14:textFill>
        </w:rPr>
        <w:t>违约金。</w:t>
      </w:r>
    </w:p>
    <w:p w14:paraId="74155A5A">
      <w:pPr>
        <w:adjustRightInd w:val="0"/>
        <w:snapToGrid w:val="0"/>
        <w:spacing w:line="360" w:lineRule="auto"/>
        <w:ind w:firstLine="482" w:firstLineChars="200"/>
        <w:outlineLvl w:val="0"/>
        <w:rPr>
          <w:rFonts w:hint="eastAsia"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十五</w:t>
      </w: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14:textFill>
            <w14:solidFill>
              <w14:schemeClr w14:val="tx1"/>
            </w14:solidFill>
          </w14:textFill>
        </w:rPr>
        <w:t>其他事项</w:t>
      </w:r>
    </w:p>
    <w:p w14:paraId="097D5535">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、甲、乙双方确认，所有通知或文件均须采用书面形式。双方保证本合同中列明的通讯地址、电话等均真实有效，任何一方变更送达地址的，须在变更情况发生后</w:t>
      </w:r>
      <w:r>
        <w:rPr>
          <w:rFonts w:asciiTheme="minorEastAsia" w:hAnsiTheme="minorEastAsia" w:eastAsiaTheme="minorEastAsia"/>
          <w:bCs/>
          <w:color w:val="000000" w:themeColor="text1"/>
          <w:sz w:val="24"/>
          <w:szCs w:val="24"/>
          <w:highlight w:val="none"/>
          <w:u w:val="single"/>
          <w14:textFill>
            <w14:solidFill>
              <w14:schemeClr w14:val="tx1"/>
            </w14:solidFill>
          </w14:textFill>
        </w:rPr>
        <w:t xml:space="preserve">  5  </w:t>
      </w:r>
      <w:r>
        <w:rPr>
          <w:rFonts w:hint="eastAsia" w:asciiTheme="minorEastAsia" w:hAnsiTheme="minorEastAsia" w:eastAsiaTheme="minorEastAsia"/>
          <w:color w:val="000000" w:themeColor="text1"/>
          <w:sz w:val="24"/>
          <w:szCs w:val="24"/>
          <w:highlight w:val="none"/>
          <w14:textFill>
            <w14:solidFill>
              <w14:schemeClr w14:val="tx1"/>
            </w14:solidFill>
          </w14:textFill>
        </w:rPr>
        <w:t>日内以书面形式通知另一方。否则，守约方按照原地址送达的视为已向违约方送达了相关文件，由此给守约方造成损失的，违约方应负责赔偿。</w:t>
      </w:r>
    </w:p>
    <w:p w14:paraId="4D0B21D5">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以下附件是本协议不可分割的组成部分，与本协议具有同等法律效力。</w:t>
      </w:r>
    </w:p>
    <w:p w14:paraId="551B3E39">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附件</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一、服务水平</w:t>
      </w:r>
      <w:r>
        <w:rPr>
          <w:rFonts w:asciiTheme="minorEastAsia" w:hAnsiTheme="minorEastAsia" w:eastAsiaTheme="minorEastAsia"/>
          <w:color w:val="000000" w:themeColor="text1"/>
          <w:sz w:val="24"/>
          <w:szCs w:val="24"/>
          <w:highlight w:val="none"/>
          <w14:textFill>
            <w14:solidFill>
              <w14:schemeClr w14:val="tx1"/>
            </w14:solidFill>
          </w14:textFill>
        </w:rPr>
        <w:t>协议</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SLA）</w:t>
      </w:r>
    </w:p>
    <w:p w14:paraId="0A726B6C">
      <w:pPr>
        <w:adjustRightInd w:val="0"/>
        <w:snapToGrid w:val="0"/>
        <w:spacing w:line="360" w:lineRule="auto"/>
        <w:ind w:firstLine="1200" w:firstLineChars="5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二、</w:t>
      </w:r>
      <w:r>
        <w:rPr>
          <w:rFonts w:asciiTheme="minorEastAsia" w:hAnsiTheme="minorEastAsia" w:eastAsiaTheme="minorEastAsia"/>
          <w:color w:val="000000" w:themeColor="text1"/>
          <w:sz w:val="24"/>
          <w:szCs w:val="24"/>
          <w:highlight w:val="none"/>
          <w14:textFill>
            <w14:solidFill>
              <w14:schemeClr w14:val="tx1"/>
            </w14:solidFill>
          </w14:textFill>
        </w:rPr>
        <w:t>保密协议</w:t>
      </w:r>
    </w:p>
    <w:p w14:paraId="5BA1E996">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（以下</w:t>
      </w:r>
      <w:r>
        <w:rPr>
          <w:rFonts w:asciiTheme="minorEastAsia" w:hAnsiTheme="minorEastAsia" w:eastAsiaTheme="minorEastAsia"/>
          <w:color w:val="000000" w:themeColor="text1"/>
          <w:sz w:val="24"/>
          <w:szCs w:val="24"/>
          <w:highlight w:val="none"/>
          <w:lang w:bidi="en-US"/>
          <w14:textFill>
            <w14:solidFill>
              <w14:schemeClr w14:val="tx1"/>
            </w14:solidFill>
          </w14:textFill>
        </w:rPr>
        <w:t>无正文</w:t>
      </w:r>
      <w:r>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t>）</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8"/>
        <w:gridCol w:w="4258"/>
      </w:tblGrid>
      <w:tr w14:paraId="6DCA5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58" w:type="dxa"/>
            <w:tcBorders>
              <w:tl2br w:val="nil"/>
              <w:tr2bl w:val="nil"/>
            </w:tcBorders>
          </w:tcPr>
          <w:p w14:paraId="4E8C345D">
            <w:pPr>
              <w:adjustRightInd w:val="0"/>
              <w:snapToGrid w:val="0"/>
              <w:spacing w:line="360" w:lineRule="auto"/>
              <w:jc w:val="left"/>
              <w:rPr>
                <w:rFonts w:hint="eastAsia" w:asciiTheme="minorEastAsia" w:hAnsiTheme="minorEastAsia" w:eastAsiaTheme="minorEastAsia"/>
                <w:bCs/>
                <w:sz w:val="24"/>
                <w:szCs w:val="24"/>
                <w:highlight w:val="none"/>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甲方（盖章）：</w:t>
            </w:r>
          </w:p>
          <w:p w14:paraId="5D17480D">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负责人或授权代表：</w:t>
            </w:r>
          </w:p>
          <w:p w14:paraId="553245F3">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地址：</w:t>
            </w:r>
          </w:p>
          <w:p w14:paraId="35D1905A">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2BF4B96A">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电话：</w:t>
            </w:r>
          </w:p>
          <w:p w14:paraId="73BBB4DA">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签订日期：</w:t>
            </w:r>
          </w:p>
        </w:tc>
        <w:tc>
          <w:tcPr>
            <w:tcW w:w="4258" w:type="dxa"/>
            <w:tcBorders>
              <w:tl2br w:val="nil"/>
              <w:tr2bl w:val="nil"/>
            </w:tcBorders>
          </w:tcPr>
          <w:p w14:paraId="04408562">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甲方（盖章）：政采云股份有限公司</w:t>
            </w:r>
          </w:p>
          <w:p w14:paraId="7CB0A953">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负责人或授权代表：</w:t>
            </w:r>
          </w:p>
          <w:p w14:paraId="51C66356">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地址：杭州市西湖区云栖小镇鲤鱼山街</w:t>
            </w:r>
            <w:r>
              <w:rPr>
                <w:rFonts w:asciiTheme="minorEastAsia" w:hAnsiTheme="minorEastAsia" w:eastAsiaTheme="minorEastAsia"/>
                <w:color w:val="000000" w:themeColor="text1"/>
                <w:sz w:val="24"/>
                <w:szCs w:val="24"/>
                <w:highlight w:val="none"/>
                <w14:textFill>
                  <w14:solidFill>
                    <w14:schemeClr w14:val="tx1"/>
                  </w14:solidFill>
                </w14:textFill>
              </w:rPr>
              <w:t>18号</w:t>
            </w:r>
          </w:p>
          <w:p w14:paraId="46F4D31D">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电话：</w:t>
            </w:r>
          </w:p>
          <w:p w14:paraId="0BC59FC3">
            <w:pPr>
              <w:adjustRightInd w:val="0"/>
              <w:snapToGrid w:val="0"/>
              <w:spacing w:line="360" w:lineRule="auto"/>
              <w:jc w:val="left"/>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签订日期：</w:t>
            </w:r>
          </w:p>
        </w:tc>
      </w:tr>
    </w:tbl>
    <w:p w14:paraId="2BCBDD0B">
      <w:pPr>
        <w:adjustRightInd w:val="0"/>
        <w:snapToGrid w:val="0"/>
        <w:spacing w:line="360" w:lineRule="auto"/>
        <w:ind w:firstLine="480" w:firstLineChars="200"/>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p>
    <w:p w14:paraId="51E80917">
      <w:pPr>
        <w:widowControl/>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br w:type="page"/>
      </w:r>
    </w:p>
    <w:p w14:paraId="627A07DD">
      <w:pPr>
        <w:rPr>
          <w:rFonts w:hint="eastAsia" w:ascii="宋体" w:hAnsi="宋体"/>
          <w:color w:val="000000"/>
          <w:sz w:val="24"/>
          <w:szCs w:val="24"/>
          <w:highlight w:val="none"/>
        </w:rPr>
      </w:pPr>
      <w:bookmarkStart w:id="0" w:name="_GoBack"/>
      <w:bookmarkEnd w:id="0"/>
      <w:r>
        <w:rPr>
          <w:rFonts w:hint="eastAsia" w:ascii="宋体" w:hAnsi="宋体"/>
          <w:color w:val="000000"/>
          <w:sz w:val="24"/>
          <w:szCs w:val="24"/>
          <w:highlight w:val="none"/>
        </w:rPr>
        <w:t>附件一</w:t>
      </w:r>
      <w:r>
        <w:rPr>
          <w:rFonts w:ascii="宋体" w:hAnsi="宋体"/>
          <w:color w:val="000000"/>
          <w:sz w:val="24"/>
          <w:szCs w:val="24"/>
          <w:highlight w:val="none"/>
        </w:rPr>
        <w:t>：</w:t>
      </w:r>
    </w:p>
    <w:p w14:paraId="0B2A2443">
      <w:pPr>
        <w:jc w:val="center"/>
        <w:rPr>
          <w:rFonts w:hint="eastAsia" w:ascii="宋体" w:hAnsi="宋体"/>
          <w:b/>
          <w:color w:val="000000"/>
          <w:sz w:val="44"/>
          <w:szCs w:val="44"/>
          <w:highlight w:val="none"/>
        </w:rPr>
      </w:pPr>
      <w:r>
        <w:rPr>
          <w:rFonts w:hint="eastAsia" w:ascii="宋体" w:hAnsi="宋体"/>
          <w:b/>
          <w:color w:val="000000"/>
          <w:sz w:val="44"/>
          <w:szCs w:val="44"/>
          <w:highlight w:val="none"/>
        </w:rPr>
        <w:t>服务水平协议（SLA）</w:t>
      </w:r>
    </w:p>
    <w:p w14:paraId="24CCA12F">
      <w:pPr>
        <w:spacing w:line="360" w:lineRule="exact"/>
        <w:rPr>
          <w:rFonts w:cs="Calibri"/>
          <w:b/>
          <w:sz w:val="24"/>
          <w:szCs w:val="28"/>
          <w:highlight w:val="none"/>
        </w:rPr>
      </w:pPr>
    </w:p>
    <w:p w14:paraId="26928980">
      <w:pPr>
        <w:pStyle w:val="26"/>
        <w:spacing w:line="360" w:lineRule="auto"/>
        <w:ind w:firstLine="482"/>
        <w:jc w:val="left"/>
        <w:outlineLvl w:val="0"/>
        <w:rPr>
          <w:rFonts w:hint="eastAsia" w:cs="Calibri" w:asciiTheme="minorEastAsia" w:hAnsiTheme="minorEastAsia" w:eastAsiaTheme="minorEastAsia"/>
          <w:b/>
          <w:sz w:val="24"/>
          <w:szCs w:val="24"/>
          <w:highlight w:val="none"/>
        </w:rPr>
      </w:pPr>
      <w:r>
        <w:rPr>
          <w:rFonts w:hint="eastAsia" w:cs="Calibri" w:asciiTheme="minorEastAsia" w:hAnsiTheme="minorEastAsia" w:eastAsiaTheme="minorEastAsia"/>
          <w:b/>
          <w:sz w:val="24"/>
          <w:szCs w:val="24"/>
          <w:highlight w:val="none"/>
        </w:rPr>
        <w:t>一</w:t>
      </w:r>
      <w:r>
        <w:rPr>
          <w:rFonts w:cs="Calibri" w:asciiTheme="minorEastAsia" w:hAnsiTheme="minorEastAsia" w:eastAsiaTheme="minorEastAsia"/>
          <w:b/>
          <w:sz w:val="24"/>
          <w:szCs w:val="24"/>
          <w:highlight w:val="none"/>
        </w:rPr>
        <w:t>、</w:t>
      </w:r>
      <w:r>
        <w:rPr>
          <w:rFonts w:hint="eastAsia" w:cs="Calibri" w:asciiTheme="minorEastAsia" w:hAnsiTheme="minorEastAsia" w:eastAsiaTheme="minorEastAsia"/>
          <w:b/>
          <w:sz w:val="24"/>
          <w:szCs w:val="24"/>
          <w:highlight w:val="none"/>
        </w:rPr>
        <w:t>服务可用性</w:t>
      </w:r>
    </w:p>
    <w:p w14:paraId="2D36ED0A">
      <w:pPr>
        <w:pStyle w:val="26"/>
        <w:spacing w:line="360" w:lineRule="auto"/>
        <w:ind w:firstLine="480"/>
        <w:jc w:val="left"/>
        <w:rPr>
          <w:rFonts w:hint="eastAsia"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服务可用性：不低于99.9%。</w:t>
      </w:r>
    </w:p>
    <w:p w14:paraId="32623D84">
      <w:pPr>
        <w:spacing w:line="360" w:lineRule="auto"/>
        <w:ind w:firstLine="480" w:firstLineChars="200"/>
        <w:jc w:val="left"/>
        <w:rPr>
          <w:rFonts w:hint="eastAsia" w:cs="Calibri" w:asciiTheme="minorEastAsia" w:hAnsiTheme="minorEastAsia"/>
          <w:sz w:val="24"/>
          <w:szCs w:val="24"/>
          <w:highlight w:val="none"/>
        </w:rPr>
      </w:pPr>
      <w:r>
        <w:rPr>
          <w:rFonts w:hint="eastAsia" w:cs="Calibri" w:asciiTheme="minorEastAsia" w:hAnsiTheme="minorEastAsia"/>
          <w:sz w:val="24"/>
          <w:szCs w:val="24"/>
          <w:highlight w:val="none"/>
        </w:rPr>
        <w:t>备注</w:t>
      </w:r>
      <w:r>
        <w:rPr>
          <w:rFonts w:cs="Calibri" w:asciiTheme="minorEastAsia" w:hAnsiTheme="minorEastAsia"/>
          <w:sz w:val="24"/>
          <w:szCs w:val="24"/>
          <w:highlight w:val="none"/>
        </w:rPr>
        <w:t>：</w:t>
      </w:r>
    </w:p>
    <w:p w14:paraId="05A1C80E">
      <w:pPr>
        <w:spacing w:line="360" w:lineRule="auto"/>
        <w:ind w:firstLine="480" w:firstLineChars="200"/>
        <w:jc w:val="left"/>
        <w:rPr>
          <w:rFonts w:hint="eastAsia" w:cs="Calibri" w:asciiTheme="minorEastAsia" w:hAnsiTheme="minorEastAsia"/>
          <w:sz w:val="24"/>
          <w:szCs w:val="24"/>
          <w:highlight w:val="none"/>
        </w:rPr>
      </w:pPr>
      <w:r>
        <w:rPr>
          <w:rFonts w:hint="eastAsia" w:cs="Calibri" w:asciiTheme="minorEastAsia" w:hAnsiTheme="minorEastAsia"/>
          <w:sz w:val="24"/>
          <w:szCs w:val="24"/>
          <w:highlight w:val="none"/>
        </w:rPr>
        <w:t>1、服务可用性是指在一个月内系统无故障的时长（分钟数）与月时长（分钟数）的比率，计算方法为：1-∑（系统故障时长）/（30×24×60）。</w:t>
      </w:r>
    </w:p>
    <w:p w14:paraId="014593D8">
      <w:pPr>
        <w:spacing w:line="360" w:lineRule="auto"/>
        <w:ind w:firstLine="480" w:firstLineChars="200"/>
        <w:jc w:val="left"/>
        <w:rPr>
          <w:rFonts w:hint="eastAsia" w:cs="Calibri" w:asciiTheme="minorEastAsia" w:hAnsiTheme="minorEastAsia"/>
          <w:sz w:val="24"/>
          <w:szCs w:val="24"/>
          <w:highlight w:val="none"/>
        </w:rPr>
      </w:pPr>
      <w:r>
        <w:rPr>
          <w:rFonts w:hint="eastAsia" w:cs="Calibri" w:asciiTheme="minorEastAsia" w:hAnsiTheme="minorEastAsia"/>
          <w:sz w:val="24"/>
          <w:szCs w:val="24"/>
          <w:highlight w:val="none"/>
        </w:rPr>
        <w:t xml:space="preserve">2、服务不可用是指因政采云系统内部故障问题导致10％以上的用户在一段时间内无法正常使用。 </w:t>
      </w:r>
    </w:p>
    <w:p w14:paraId="0AA47B3C">
      <w:pPr>
        <w:pStyle w:val="26"/>
        <w:spacing w:line="360" w:lineRule="auto"/>
        <w:ind w:left="482" w:firstLine="0" w:firstLineChars="0"/>
        <w:jc w:val="left"/>
        <w:outlineLvl w:val="0"/>
        <w:rPr>
          <w:rFonts w:hint="eastAsia" w:cs="Calibri" w:asciiTheme="minorEastAsia" w:hAnsiTheme="minorEastAsia" w:eastAsiaTheme="minorEastAsia"/>
          <w:b/>
          <w:sz w:val="24"/>
          <w:szCs w:val="24"/>
          <w:highlight w:val="none"/>
        </w:rPr>
      </w:pPr>
      <w:r>
        <w:rPr>
          <w:rFonts w:hint="eastAsia" w:cs="Calibri" w:asciiTheme="minorEastAsia" w:hAnsiTheme="minorEastAsia" w:eastAsiaTheme="minorEastAsia"/>
          <w:b/>
          <w:sz w:val="24"/>
          <w:szCs w:val="24"/>
          <w:highlight w:val="none"/>
        </w:rPr>
        <w:t>二</w:t>
      </w:r>
      <w:r>
        <w:rPr>
          <w:rFonts w:cs="Calibri" w:asciiTheme="minorEastAsia" w:hAnsiTheme="minorEastAsia" w:eastAsiaTheme="minorEastAsia"/>
          <w:b/>
          <w:sz w:val="24"/>
          <w:szCs w:val="24"/>
          <w:highlight w:val="none"/>
        </w:rPr>
        <w:t>、</w:t>
      </w:r>
      <w:r>
        <w:rPr>
          <w:rFonts w:hint="eastAsia" w:cs="Calibri" w:asciiTheme="minorEastAsia" w:hAnsiTheme="minorEastAsia" w:eastAsiaTheme="minorEastAsia"/>
          <w:b/>
          <w:sz w:val="24"/>
          <w:szCs w:val="24"/>
          <w:highlight w:val="none"/>
        </w:rPr>
        <w:t>数据持久性</w:t>
      </w:r>
    </w:p>
    <w:p w14:paraId="064C88A2">
      <w:pPr>
        <w:spacing w:line="360" w:lineRule="auto"/>
        <w:ind w:firstLine="480" w:firstLineChars="200"/>
        <w:jc w:val="left"/>
        <w:rPr>
          <w:rFonts w:hint="eastAsia" w:cs="Calibri" w:asciiTheme="minorEastAsia" w:hAnsiTheme="minorEastAsia"/>
          <w:sz w:val="24"/>
          <w:szCs w:val="24"/>
          <w:highlight w:val="none"/>
        </w:rPr>
      </w:pPr>
      <w:r>
        <w:rPr>
          <w:rFonts w:hint="eastAsia" w:cs="Calibri" w:asciiTheme="minorEastAsia" w:hAnsiTheme="minorEastAsia"/>
          <w:sz w:val="24"/>
          <w:szCs w:val="24"/>
          <w:highlight w:val="none"/>
        </w:rPr>
        <w:t>数据持久性：不低于99.9999%，即1000000次写请求可能发生1次数据丢失风险。</w:t>
      </w:r>
    </w:p>
    <w:p w14:paraId="2B867408">
      <w:pPr>
        <w:spacing w:line="360" w:lineRule="auto"/>
        <w:ind w:firstLine="480" w:firstLineChars="200"/>
        <w:jc w:val="left"/>
        <w:rPr>
          <w:rFonts w:hint="eastAsia" w:cs="Calibri" w:asciiTheme="minorEastAsia" w:hAnsiTheme="minorEastAsia"/>
          <w:sz w:val="24"/>
          <w:szCs w:val="24"/>
          <w:highlight w:val="none"/>
        </w:rPr>
      </w:pPr>
      <w:r>
        <w:rPr>
          <w:rFonts w:hint="eastAsia" w:cs="Calibri" w:asciiTheme="minorEastAsia" w:hAnsiTheme="minorEastAsia"/>
          <w:sz w:val="24"/>
          <w:szCs w:val="24"/>
          <w:highlight w:val="none"/>
        </w:rPr>
        <w:t>备注</w:t>
      </w:r>
      <w:r>
        <w:rPr>
          <w:rFonts w:cs="Calibri" w:asciiTheme="minorEastAsia" w:hAnsiTheme="minorEastAsia"/>
          <w:sz w:val="24"/>
          <w:szCs w:val="24"/>
          <w:highlight w:val="none"/>
        </w:rPr>
        <w:t>：</w:t>
      </w:r>
      <w:r>
        <w:rPr>
          <w:rFonts w:hint="eastAsia" w:cs="Calibri" w:asciiTheme="minorEastAsia" w:hAnsiTheme="minorEastAsia"/>
          <w:sz w:val="24"/>
          <w:szCs w:val="24"/>
          <w:highlight w:val="none"/>
        </w:rPr>
        <w:t>数据持久性是指通过一定的措施将数据保存到物理介质（如磁盘，文件等）上，保证数据不被丢失。</w:t>
      </w:r>
    </w:p>
    <w:p w14:paraId="4744623A">
      <w:pPr>
        <w:pStyle w:val="26"/>
        <w:spacing w:line="360" w:lineRule="auto"/>
        <w:ind w:left="482" w:firstLine="0" w:firstLineChars="0"/>
        <w:jc w:val="left"/>
        <w:outlineLvl w:val="0"/>
        <w:rPr>
          <w:rFonts w:hint="eastAsia" w:cs="Calibri" w:asciiTheme="minorEastAsia" w:hAnsiTheme="minorEastAsia" w:eastAsiaTheme="minorEastAsia"/>
          <w:b/>
          <w:sz w:val="24"/>
          <w:szCs w:val="24"/>
          <w:highlight w:val="none"/>
        </w:rPr>
      </w:pPr>
      <w:r>
        <w:rPr>
          <w:rFonts w:hint="eastAsia" w:cs="Calibri" w:asciiTheme="minorEastAsia" w:hAnsiTheme="minorEastAsia" w:eastAsiaTheme="minorEastAsia"/>
          <w:b/>
          <w:sz w:val="24"/>
          <w:szCs w:val="24"/>
          <w:highlight w:val="none"/>
        </w:rPr>
        <w:t>三</w:t>
      </w:r>
      <w:r>
        <w:rPr>
          <w:rFonts w:cs="Calibri" w:asciiTheme="minorEastAsia" w:hAnsiTheme="minorEastAsia" w:eastAsiaTheme="minorEastAsia"/>
          <w:b/>
          <w:sz w:val="24"/>
          <w:szCs w:val="24"/>
          <w:highlight w:val="none"/>
        </w:rPr>
        <w:t>、</w:t>
      </w:r>
      <w:r>
        <w:rPr>
          <w:rFonts w:hint="eastAsia" w:cs="Calibri" w:asciiTheme="minorEastAsia" w:hAnsiTheme="minorEastAsia" w:eastAsiaTheme="minorEastAsia"/>
          <w:b/>
          <w:sz w:val="24"/>
          <w:szCs w:val="24"/>
          <w:highlight w:val="none"/>
        </w:rPr>
        <w:t>页面请求响应时间</w:t>
      </w:r>
    </w:p>
    <w:p w14:paraId="42C345D3">
      <w:pPr>
        <w:pStyle w:val="26"/>
        <w:spacing w:line="360" w:lineRule="auto"/>
        <w:ind w:left="482" w:firstLine="0" w:firstLineChars="0"/>
        <w:jc w:val="left"/>
        <w:rPr>
          <w:rFonts w:hint="eastAsia"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页面</w:t>
      </w:r>
      <w:r>
        <w:rPr>
          <w:rFonts w:cs="Calibri" w:asciiTheme="minorEastAsia" w:hAnsiTheme="minorEastAsia" w:eastAsiaTheme="minorEastAsia"/>
          <w:sz w:val="24"/>
          <w:szCs w:val="24"/>
          <w:highlight w:val="none"/>
        </w:rPr>
        <w:t>请求</w:t>
      </w:r>
      <w:r>
        <w:rPr>
          <w:rFonts w:hint="eastAsia" w:cs="Calibri" w:asciiTheme="minorEastAsia" w:hAnsiTheme="minorEastAsia" w:eastAsiaTheme="minorEastAsia"/>
          <w:sz w:val="24"/>
          <w:szCs w:val="24"/>
          <w:highlight w:val="none"/>
        </w:rPr>
        <w:t>平均响应</w:t>
      </w:r>
      <w:r>
        <w:rPr>
          <w:rFonts w:cs="Calibri" w:asciiTheme="minorEastAsia" w:hAnsiTheme="minorEastAsia" w:eastAsiaTheme="minorEastAsia"/>
          <w:sz w:val="24"/>
          <w:szCs w:val="24"/>
          <w:highlight w:val="none"/>
        </w:rPr>
        <w:t>时间：</w:t>
      </w:r>
      <w:r>
        <w:rPr>
          <w:rFonts w:hint="eastAsia" w:cs="Calibri" w:asciiTheme="minorEastAsia" w:hAnsiTheme="minorEastAsia" w:eastAsiaTheme="minorEastAsia"/>
          <w:sz w:val="24"/>
          <w:szCs w:val="24"/>
          <w:highlight w:val="none"/>
        </w:rPr>
        <w:t>不超过2秒钟。</w:t>
      </w:r>
    </w:p>
    <w:p w14:paraId="67CEA03A">
      <w:pPr>
        <w:pStyle w:val="26"/>
        <w:spacing w:line="360" w:lineRule="auto"/>
        <w:ind w:firstLine="480"/>
        <w:jc w:val="left"/>
        <w:rPr>
          <w:rFonts w:hint="eastAsia"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备注</w:t>
      </w:r>
      <w:r>
        <w:rPr>
          <w:rFonts w:cs="Calibri" w:asciiTheme="minorEastAsia" w:hAnsiTheme="minorEastAsia" w:eastAsiaTheme="minorEastAsia"/>
          <w:sz w:val="24"/>
          <w:szCs w:val="24"/>
          <w:highlight w:val="none"/>
        </w:rPr>
        <w:t>：</w:t>
      </w:r>
      <w:r>
        <w:rPr>
          <w:rFonts w:hint="eastAsia" w:cs="Calibri" w:asciiTheme="minorEastAsia" w:hAnsiTheme="minorEastAsia" w:eastAsiaTheme="minorEastAsia"/>
          <w:sz w:val="24"/>
          <w:szCs w:val="24"/>
          <w:highlight w:val="none"/>
        </w:rPr>
        <w:t>请求响应时间是指用户通过web页面完整发送请求到系统开始算起到用户收到系统给予的响应为止所需要的时长。</w:t>
      </w:r>
    </w:p>
    <w:p w14:paraId="3A640915">
      <w:pPr>
        <w:pStyle w:val="26"/>
        <w:spacing w:line="360" w:lineRule="auto"/>
        <w:ind w:firstLine="482"/>
        <w:jc w:val="left"/>
        <w:outlineLvl w:val="0"/>
        <w:rPr>
          <w:rFonts w:hint="eastAsia" w:cs="Calibri" w:asciiTheme="minorEastAsia" w:hAnsiTheme="minorEastAsia" w:eastAsiaTheme="minorEastAsia"/>
          <w:b/>
          <w:sz w:val="24"/>
          <w:szCs w:val="24"/>
          <w:highlight w:val="none"/>
        </w:rPr>
      </w:pPr>
      <w:r>
        <w:rPr>
          <w:rFonts w:hint="eastAsia" w:cs="Calibri" w:asciiTheme="minorEastAsia" w:hAnsiTheme="minorEastAsia" w:eastAsiaTheme="minorEastAsia"/>
          <w:b/>
          <w:sz w:val="24"/>
          <w:szCs w:val="24"/>
          <w:highlight w:val="none"/>
        </w:rPr>
        <w:t>四</w:t>
      </w:r>
      <w:r>
        <w:rPr>
          <w:rFonts w:cs="Calibri" w:asciiTheme="minorEastAsia" w:hAnsiTheme="minorEastAsia" w:eastAsiaTheme="minorEastAsia"/>
          <w:b/>
          <w:sz w:val="24"/>
          <w:szCs w:val="24"/>
          <w:highlight w:val="none"/>
        </w:rPr>
        <w:t>、</w:t>
      </w:r>
      <w:r>
        <w:rPr>
          <w:rFonts w:hint="eastAsia" w:cs="Calibri" w:asciiTheme="minorEastAsia" w:hAnsiTheme="minorEastAsia" w:eastAsiaTheme="minorEastAsia"/>
          <w:b/>
          <w:sz w:val="24"/>
          <w:szCs w:val="24"/>
          <w:highlight w:val="none"/>
        </w:rPr>
        <w:t>客户服务承诺</w:t>
      </w:r>
    </w:p>
    <w:p w14:paraId="28BEF87D">
      <w:pPr>
        <w:spacing w:line="360" w:lineRule="auto"/>
        <w:ind w:firstLine="480" w:firstLineChars="200"/>
        <w:jc w:val="left"/>
        <w:rPr>
          <w:rFonts w:hint="eastAsia" w:cs="Calibri" w:asciiTheme="minorEastAsia" w:hAnsiTheme="minorEastAsia"/>
          <w:sz w:val="24"/>
          <w:szCs w:val="24"/>
          <w:highlight w:val="none"/>
        </w:rPr>
      </w:pPr>
      <w:r>
        <w:rPr>
          <w:rFonts w:hint="eastAsia" w:cs="Calibri" w:asciiTheme="minorEastAsia" w:hAnsiTheme="minorEastAsia"/>
          <w:sz w:val="24"/>
          <w:szCs w:val="24"/>
          <w:highlight w:val="none"/>
        </w:rPr>
        <w:t>客户服务热线服务时间：5×8小时（指工作日</w:t>
      </w:r>
      <w:r>
        <w:rPr>
          <w:rFonts w:cs="Calibri" w:asciiTheme="minorEastAsia" w:hAnsiTheme="minorEastAsia"/>
          <w:sz w:val="24"/>
          <w:szCs w:val="24"/>
          <w:highlight w:val="none"/>
        </w:rPr>
        <w:t>，</w:t>
      </w:r>
      <w:r>
        <w:rPr>
          <w:rFonts w:hint="eastAsia" w:cs="Calibri" w:asciiTheme="minorEastAsia" w:hAnsiTheme="minorEastAsia"/>
          <w:sz w:val="24"/>
          <w:szCs w:val="24"/>
          <w:highlight w:val="none"/>
        </w:rPr>
        <w:t>周</w:t>
      </w:r>
      <w:r>
        <w:rPr>
          <w:rFonts w:cs="Calibri" w:asciiTheme="minorEastAsia" w:hAnsiTheme="minorEastAsia"/>
          <w:sz w:val="24"/>
          <w:szCs w:val="24"/>
          <w:highlight w:val="none"/>
        </w:rPr>
        <w:t>一至周五，</w:t>
      </w:r>
      <w:r>
        <w:rPr>
          <w:rFonts w:hint="eastAsia" w:cs="Calibri" w:asciiTheme="minorEastAsia" w:hAnsiTheme="minorEastAsia"/>
          <w:sz w:val="24"/>
          <w:szCs w:val="24"/>
          <w:highlight w:val="none"/>
        </w:rPr>
        <w:t>节假日</w:t>
      </w:r>
      <w:r>
        <w:rPr>
          <w:rFonts w:cs="Calibri" w:asciiTheme="minorEastAsia" w:hAnsiTheme="minorEastAsia"/>
          <w:sz w:val="24"/>
          <w:szCs w:val="24"/>
          <w:highlight w:val="none"/>
        </w:rPr>
        <w:t>除外</w:t>
      </w:r>
      <w:r>
        <w:rPr>
          <w:rFonts w:hint="eastAsia" w:cs="Calibri" w:asciiTheme="minorEastAsia" w:hAnsiTheme="minorEastAsia"/>
          <w:sz w:val="24"/>
          <w:szCs w:val="24"/>
          <w:highlight w:val="none"/>
        </w:rPr>
        <w:t>）；</w:t>
      </w:r>
    </w:p>
    <w:p w14:paraId="6FD34108">
      <w:pPr>
        <w:spacing w:line="360" w:lineRule="auto"/>
        <w:ind w:firstLine="480" w:firstLineChars="200"/>
        <w:jc w:val="left"/>
        <w:rPr>
          <w:rFonts w:hint="eastAsia" w:cs="Calibri" w:asciiTheme="minorEastAsia" w:hAnsiTheme="minorEastAsia"/>
          <w:sz w:val="24"/>
          <w:szCs w:val="24"/>
          <w:highlight w:val="none"/>
        </w:rPr>
      </w:pPr>
      <w:r>
        <w:rPr>
          <w:rFonts w:hint="eastAsia" w:cs="Calibri" w:asciiTheme="minorEastAsia" w:hAnsiTheme="minorEastAsia"/>
          <w:sz w:val="24"/>
          <w:szCs w:val="24"/>
          <w:highlight w:val="none"/>
        </w:rPr>
        <w:t>7×24小时的在线机器人服务系统、帮助中心自助查询、用户帮助工具和邮箱受理服务；</w:t>
      </w:r>
    </w:p>
    <w:p w14:paraId="47EB967F">
      <w:pPr>
        <w:spacing w:line="360" w:lineRule="auto"/>
        <w:ind w:firstLine="480" w:firstLineChars="200"/>
        <w:jc w:val="left"/>
        <w:rPr>
          <w:rFonts w:hint="eastAsia" w:cs="Calibri" w:asciiTheme="minorEastAsia" w:hAnsiTheme="minorEastAsia"/>
          <w:sz w:val="24"/>
          <w:szCs w:val="24"/>
          <w:highlight w:val="none"/>
        </w:rPr>
      </w:pPr>
      <w:r>
        <w:rPr>
          <w:rFonts w:hint="eastAsia" w:cs="Calibri" w:asciiTheme="minorEastAsia" w:hAnsiTheme="minorEastAsia"/>
          <w:sz w:val="24"/>
          <w:szCs w:val="24"/>
          <w:highlight w:val="none"/>
        </w:rPr>
        <w:t>7×24小时售后故障支持服务</w:t>
      </w:r>
      <w:r>
        <w:rPr>
          <w:rFonts w:hint="eastAsia" w:asciiTheme="minorEastAsia" w:hAnsiTheme="minorEastAsia"/>
          <w:sz w:val="24"/>
          <w:szCs w:val="24"/>
          <w:highlight w:val="none"/>
        </w:rPr>
        <w:t>；</w:t>
      </w:r>
    </w:p>
    <w:p w14:paraId="21CC7995">
      <w:pPr>
        <w:spacing w:line="360" w:lineRule="auto"/>
        <w:ind w:firstLine="480" w:firstLineChars="200"/>
        <w:jc w:val="left"/>
        <w:rPr>
          <w:rFonts w:hint="eastAsia" w:cs="Calibri" w:asciiTheme="minorEastAsia" w:hAnsiTheme="minorEastAsia"/>
          <w:sz w:val="24"/>
          <w:szCs w:val="24"/>
          <w:highlight w:val="none"/>
        </w:rPr>
      </w:pPr>
      <w:r>
        <w:rPr>
          <w:rFonts w:hint="eastAsia" w:cs="Calibri" w:asciiTheme="minorEastAsia" w:hAnsiTheme="minorEastAsia"/>
          <w:sz w:val="24"/>
          <w:szCs w:val="24"/>
          <w:highlight w:val="none"/>
        </w:rPr>
        <w:t>报障</w:t>
      </w:r>
      <w:r>
        <w:rPr>
          <w:rFonts w:cs="Calibri" w:asciiTheme="minorEastAsia" w:hAnsiTheme="minorEastAsia"/>
          <w:sz w:val="24"/>
          <w:szCs w:val="24"/>
          <w:highlight w:val="none"/>
        </w:rPr>
        <w:t>或</w:t>
      </w:r>
      <w:r>
        <w:rPr>
          <w:rFonts w:hint="eastAsia" w:cs="Calibri" w:asciiTheme="minorEastAsia" w:hAnsiTheme="minorEastAsia"/>
          <w:sz w:val="24"/>
          <w:szCs w:val="24"/>
          <w:highlight w:val="none"/>
        </w:rPr>
        <w:t>投诉受理后响应时间：工作日1小时内响应。</w:t>
      </w:r>
    </w:p>
    <w:p w14:paraId="21706E7C">
      <w:pPr>
        <w:pStyle w:val="26"/>
        <w:spacing w:line="360" w:lineRule="auto"/>
        <w:ind w:firstLine="480"/>
        <w:jc w:val="left"/>
        <w:rPr>
          <w:rFonts w:hint="eastAsia"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备注</w:t>
      </w:r>
      <w:r>
        <w:rPr>
          <w:rFonts w:cs="Calibri" w:asciiTheme="minorEastAsia" w:hAnsiTheme="minorEastAsia" w:eastAsiaTheme="minorEastAsia"/>
          <w:sz w:val="24"/>
          <w:szCs w:val="24"/>
          <w:highlight w:val="none"/>
        </w:rPr>
        <w:t>：</w:t>
      </w:r>
    </w:p>
    <w:p w14:paraId="481EA95A">
      <w:pPr>
        <w:spacing w:line="360" w:lineRule="auto"/>
        <w:ind w:firstLine="480" w:firstLineChars="200"/>
        <w:jc w:val="left"/>
        <w:rPr>
          <w:rFonts w:hint="eastAsia" w:cs="Calibri" w:asciiTheme="minorEastAsia" w:hAnsiTheme="minorEastAsia"/>
          <w:sz w:val="24"/>
          <w:szCs w:val="24"/>
          <w:highlight w:val="none"/>
        </w:rPr>
      </w:pPr>
      <w:r>
        <w:rPr>
          <w:rFonts w:hint="eastAsia" w:cs="Calibri" w:asciiTheme="minorEastAsia" w:hAnsiTheme="minorEastAsia"/>
          <w:sz w:val="24"/>
          <w:szCs w:val="24"/>
          <w:highlight w:val="none"/>
        </w:rPr>
        <w:t>1、故障投诉受理是指用户在使用政采云系统过程中出现的因政采云</w:t>
      </w:r>
      <w:r>
        <w:rPr>
          <w:rFonts w:cs="Calibri" w:asciiTheme="minorEastAsia" w:hAnsiTheme="minorEastAsia"/>
          <w:sz w:val="24"/>
          <w:szCs w:val="24"/>
          <w:highlight w:val="none"/>
        </w:rPr>
        <w:t>原因引起的</w:t>
      </w:r>
      <w:r>
        <w:rPr>
          <w:rFonts w:hint="eastAsia" w:cs="Calibri" w:asciiTheme="minorEastAsia" w:hAnsiTheme="minorEastAsia"/>
          <w:sz w:val="24"/>
          <w:szCs w:val="24"/>
          <w:highlight w:val="none"/>
        </w:rPr>
        <w:t>系统故障影响用户使用，用户通过政采云提供的客户服务热线、热线信箱、IM等进行投诉并得到政采云对故障处理情况的回复。</w:t>
      </w:r>
    </w:p>
    <w:p w14:paraId="635E4E52">
      <w:pPr>
        <w:spacing w:line="360" w:lineRule="auto"/>
        <w:ind w:firstLine="480" w:firstLineChars="200"/>
        <w:jc w:val="left"/>
        <w:rPr>
          <w:rFonts w:hint="eastAsia" w:cs="Calibri" w:asciiTheme="minorEastAsia" w:hAnsiTheme="minorEastAsia"/>
          <w:sz w:val="24"/>
          <w:szCs w:val="24"/>
          <w:highlight w:val="none"/>
        </w:rPr>
      </w:pPr>
      <w:r>
        <w:rPr>
          <w:rFonts w:cs="Calibri" w:asciiTheme="minorEastAsia" w:hAnsiTheme="minorEastAsia"/>
          <w:sz w:val="24"/>
          <w:szCs w:val="24"/>
          <w:highlight w:val="none"/>
        </w:rPr>
        <w:t>2</w:t>
      </w:r>
      <w:r>
        <w:rPr>
          <w:rFonts w:hint="eastAsia" w:cs="Calibri" w:asciiTheme="minorEastAsia" w:hAnsiTheme="minorEastAsia"/>
          <w:sz w:val="24"/>
          <w:szCs w:val="24"/>
          <w:highlight w:val="none"/>
        </w:rPr>
        <w:t xml:space="preserve">、非故障投诉受理：是指用户在使用政采云系统过程中遇到使用问题或对政采云系统改进的建议等通过政采云提供的客户服务热线、热线信箱、IM等向政采云投诉并得到政采云对问题的处理及相关情况回复。 </w:t>
      </w:r>
    </w:p>
    <w:p w14:paraId="2AA17E82">
      <w:pPr>
        <w:spacing w:line="360" w:lineRule="auto"/>
        <w:ind w:firstLine="480" w:firstLineChars="200"/>
        <w:jc w:val="left"/>
        <w:rPr>
          <w:rFonts w:hint="eastAsia" w:cs="Calibri" w:asciiTheme="minorEastAsia" w:hAnsiTheme="minorEastAsia"/>
          <w:sz w:val="24"/>
          <w:szCs w:val="24"/>
          <w:highlight w:val="none"/>
        </w:rPr>
      </w:pPr>
      <w:r>
        <w:rPr>
          <w:rFonts w:hint="eastAsia" w:cs="Calibri" w:asciiTheme="minorEastAsia" w:hAnsiTheme="minorEastAsia"/>
          <w:sz w:val="24"/>
          <w:szCs w:val="24"/>
          <w:highlight w:val="none"/>
        </w:rPr>
        <w:t xml:space="preserve">3、响应时间：是指自政采云收到用户故障投诉或非故障投诉到政采云对投诉问题开始进行解决的时间。服务热线人工接听率是指政采云客服热线人工座席接起的量和用户转人工座席量的比值。 </w:t>
      </w:r>
    </w:p>
    <w:p w14:paraId="3396E04C">
      <w:pPr>
        <w:spacing w:line="360" w:lineRule="auto"/>
        <w:ind w:firstLine="482" w:firstLineChars="200"/>
        <w:outlineLvl w:val="0"/>
        <w:rPr>
          <w:rFonts w:cs="Calibri"/>
          <w:b/>
          <w:sz w:val="24"/>
          <w:szCs w:val="24"/>
          <w:highlight w:val="none"/>
        </w:rPr>
      </w:pPr>
      <w:r>
        <w:rPr>
          <w:rFonts w:hint="eastAsia" w:cs="Calibri"/>
          <w:b/>
          <w:sz w:val="24"/>
          <w:szCs w:val="24"/>
          <w:highlight w:val="none"/>
        </w:rPr>
        <w:t>五</w:t>
      </w:r>
      <w:r>
        <w:rPr>
          <w:rFonts w:cs="Calibri"/>
          <w:b/>
          <w:sz w:val="24"/>
          <w:szCs w:val="24"/>
          <w:highlight w:val="none"/>
        </w:rPr>
        <w:t>、其他</w:t>
      </w:r>
    </w:p>
    <w:p w14:paraId="534F6AD7">
      <w:pPr>
        <w:spacing w:line="360" w:lineRule="auto"/>
        <w:ind w:firstLine="480" w:firstLineChars="200"/>
        <w:rPr>
          <w:rFonts w:hint="eastAsia" w:cs="Calibri" w:asciiTheme="minorEastAsia" w:hAnsiTheme="minorEastAsia"/>
          <w:sz w:val="24"/>
          <w:szCs w:val="24"/>
          <w:highlight w:val="none"/>
        </w:rPr>
      </w:pPr>
      <w:r>
        <w:rPr>
          <w:rFonts w:cs="Calibri" w:asciiTheme="minorEastAsia" w:hAnsiTheme="minorEastAsia"/>
          <w:sz w:val="24"/>
          <w:szCs w:val="24"/>
          <w:highlight w:val="none"/>
        </w:rPr>
        <w:t>1</w:t>
      </w:r>
      <w:r>
        <w:rPr>
          <w:rFonts w:hint="eastAsia" w:cs="Calibri" w:asciiTheme="minorEastAsia" w:hAnsiTheme="minorEastAsia"/>
          <w:sz w:val="24"/>
          <w:szCs w:val="24"/>
          <w:highlight w:val="none"/>
        </w:rPr>
        <w:t>、当《政府采购</w:t>
      </w:r>
      <w:r>
        <w:rPr>
          <w:rFonts w:cs="Calibri" w:asciiTheme="minorEastAsia" w:hAnsiTheme="minorEastAsia"/>
          <w:sz w:val="24"/>
          <w:szCs w:val="24"/>
          <w:highlight w:val="none"/>
        </w:rPr>
        <w:t>云平台服务合同</w:t>
      </w:r>
      <w:r>
        <w:rPr>
          <w:rFonts w:hint="eastAsia" w:cs="Calibri" w:asciiTheme="minorEastAsia" w:hAnsiTheme="minorEastAsia"/>
          <w:sz w:val="24"/>
          <w:szCs w:val="24"/>
          <w:highlight w:val="none"/>
        </w:rPr>
        <w:t>》暂停或终止的同时本协议即相应暂停或终止。</w:t>
      </w:r>
    </w:p>
    <w:p w14:paraId="4F47DEB6">
      <w:pPr>
        <w:spacing w:line="360" w:lineRule="auto"/>
        <w:ind w:firstLine="480" w:firstLineChars="200"/>
        <w:rPr>
          <w:rFonts w:hint="eastAsia" w:cs="Calibri" w:asciiTheme="minorEastAsia" w:hAnsiTheme="minorEastAsia"/>
          <w:sz w:val="24"/>
          <w:szCs w:val="24"/>
          <w:highlight w:val="none"/>
        </w:rPr>
      </w:pPr>
      <w:r>
        <w:rPr>
          <w:rFonts w:cs="Calibri" w:asciiTheme="minorEastAsia" w:hAnsiTheme="minorEastAsia"/>
          <w:sz w:val="24"/>
          <w:szCs w:val="24"/>
          <w:highlight w:val="none"/>
        </w:rPr>
        <w:t>2</w:t>
      </w:r>
      <w:r>
        <w:rPr>
          <w:rFonts w:hint="eastAsia" w:cs="Calibri" w:asciiTheme="minorEastAsia" w:hAnsiTheme="minorEastAsia"/>
          <w:sz w:val="24"/>
          <w:szCs w:val="24"/>
          <w:highlight w:val="none"/>
        </w:rPr>
        <w:t>、若本协议与相关协议中的条款相冲突或不一致，则以本协议为准。</w:t>
      </w:r>
    </w:p>
    <w:p w14:paraId="1BDD7DFE">
      <w:pPr>
        <w:spacing w:line="360" w:lineRule="auto"/>
        <w:ind w:firstLine="480" w:firstLineChars="200"/>
        <w:rPr>
          <w:rFonts w:hint="eastAsia" w:cs="Calibri" w:asciiTheme="minorEastAsia" w:hAnsiTheme="minorEastAsia"/>
          <w:sz w:val="24"/>
          <w:szCs w:val="24"/>
          <w:highlight w:val="none"/>
        </w:rPr>
      </w:pPr>
      <w:r>
        <w:rPr>
          <w:rFonts w:cs="Calibri" w:asciiTheme="minorEastAsia" w:hAnsiTheme="minorEastAsia"/>
          <w:sz w:val="24"/>
          <w:szCs w:val="24"/>
          <w:highlight w:val="none"/>
        </w:rPr>
        <w:t>3</w:t>
      </w:r>
      <w:r>
        <w:rPr>
          <w:rFonts w:hint="eastAsia" w:cs="Calibri" w:asciiTheme="minorEastAsia" w:hAnsiTheme="minorEastAsia"/>
          <w:sz w:val="24"/>
          <w:szCs w:val="24"/>
          <w:highlight w:val="none"/>
        </w:rPr>
        <w:t>、政采云有权根据变化适时对本协议部分服务指标做出调整，并及时在政采云平台网站发布公告或发送邮件向用户提示修改内容。</w:t>
      </w:r>
    </w:p>
    <w:p w14:paraId="26C093A5">
      <w:pPr>
        <w:widowControl/>
        <w:jc w:val="left"/>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asciiTheme="minorEastAsia" w:hAnsiTheme="minorEastAsia" w:eastAsiaTheme="minorEastAsia"/>
          <w:color w:val="000000" w:themeColor="text1"/>
          <w:sz w:val="24"/>
          <w:szCs w:val="24"/>
          <w:highlight w:val="none"/>
          <w:lang w:bidi="en-US"/>
          <w14:textFill>
            <w14:solidFill>
              <w14:schemeClr w14:val="tx1"/>
            </w14:solidFill>
          </w14:textFill>
        </w:rPr>
        <w:br w:type="page"/>
      </w:r>
    </w:p>
    <w:p w14:paraId="5BFB74A6">
      <w:pPr>
        <w:spacing w:line="480" w:lineRule="auto"/>
        <w:rPr>
          <w:rFonts w:hint="eastAsia" w:ascii="宋体" w:hAnsi="宋体"/>
          <w:sz w:val="24"/>
          <w:szCs w:val="24"/>
          <w:highlight w:val="none"/>
        </w:rPr>
      </w:pPr>
      <w:r>
        <w:rPr>
          <w:rFonts w:hint="eastAsia" w:ascii="宋体" w:hAnsi="宋体"/>
          <w:sz w:val="24"/>
          <w:szCs w:val="24"/>
          <w:highlight w:val="none"/>
        </w:rPr>
        <w:t>附件二</w:t>
      </w:r>
      <w:r>
        <w:rPr>
          <w:rFonts w:ascii="宋体" w:hAnsi="宋体"/>
          <w:sz w:val="24"/>
          <w:szCs w:val="24"/>
          <w:highlight w:val="none"/>
        </w:rPr>
        <w:t>：</w:t>
      </w:r>
    </w:p>
    <w:p w14:paraId="7D632D21">
      <w:pPr>
        <w:spacing w:line="480" w:lineRule="auto"/>
        <w:jc w:val="center"/>
        <w:rPr>
          <w:rFonts w:hint="eastAsia" w:ascii="宋体" w:hAnsi="宋体"/>
          <w:b/>
          <w:sz w:val="44"/>
          <w:szCs w:val="44"/>
          <w:highlight w:val="none"/>
        </w:rPr>
      </w:pPr>
      <w:r>
        <w:rPr>
          <w:rFonts w:hint="eastAsia" w:ascii="宋体" w:hAnsi="宋体"/>
          <w:b/>
          <w:sz w:val="44"/>
          <w:szCs w:val="44"/>
          <w:highlight w:val="none"/>
        </w:rPr>
        <w:t xml:space="preserve">保密协议 </w:t>
      </w:r>
    </w:p>
    <w:p w14:paraId="3BF23106">
      <w:pPr>
        <w:snapToGrid w:val="0"/>
        <w:spacing w:line="360" w:lineRule="auto"/>
        <w:rPr>
          <w:rFonts w:hint="eastAsia" w:ascii="宋体" w:hAnsi="宋体"/>
          <w:color w:val="FF0000"/>
          <w:sz w:val="24"/>
          <w:szCs w:val="24"/>
          <w:highlight w:val="none"/>
        </w:rPr>
      </w:pPr>
      <w:r>
        <w:rPr>
          <w:rFonts w:hint="eastAsia" w:ascii="宋体" w:hAnsi="宋体"/>
          <w:b/>
          <w:sz w:val="24"/>
          <w:szCs w:val="24"/>
          <w:highlight w:val="none"/>
        </w:rPr>
        <w:t>甲方</w:t>
      </w:r>
      <w:r>
        <w:rPr>
          <w:rFonts w:ascii="宋体" w:hAnsi="宋体"/>
          <w:b/>
          <w:sz w:val="24"/>
          <w:szCs w:val="24"/>
          <w:highlight w:val="none"/>
        </w:rPr>
        <w:t>：</w:t>
      </w:r>
      <w:r>
        <w:rPr>
          <w:rFonts w:hint="eastAsia" w:asciiTheme="minorEastAsia" w:hAnsiTheme="minorEastAsia" w:eastAsiaTheme="minorEastAsia"/>
          <w:bCs/>
          <w:sz w:val="24"/>
          <w:szCs w:val="24"/>
          <w:highlight w:val="none"/>
          <w:u w:val="single"/>
        </w:rPr>
        <w:t xml:space="preserve"> </w:t>
      </w:r>
      <w:r>
        <w:rPr>
          <w:rFonts w:asciiTheme="minorEastAsia" w:hAnsiTheme="minorEastAsia" w:eastAsiaTheme="minorEastAsia"/>
          <w:bCs/>
          <w:sz w:val="24"/>
          <w:szCs w:val="24"/>
          <w:highlight w:val="none"/>
          <w:u w:val="single"/>
        </w:rPr>
        <w:t xml:space="preserve">       </w:t>
      </w:r>
    </w:p>
    <w:p w14:paraId="61B00F7D">
      <w:pPr>
        <w:snapToGrid w:val="0"/>
        <w:spacing w:line="360" w:lineRule="auto"/>
        <w:rPr>
          <w:rFonts w:hint="eastAsia" w:ascii="宋体" w:hAnsi="宋体"/>
          <w:sz w:val="24"/>
          <w:szCs w:val="24"/>
          <w:highlight w:val="none"/>
        </w:rPr>
      </w:pPr>
      <w:r>
        <w:rPr>
          <w:rFonts w:hint="eastAsia" w:ascii="宋体" w:hAnsi="宋体"/>
          <w:b/>
          <w:sz w:val="24"/>
          <w:szCs w:val="24"/>
          <w:highlight w:val="none"/>
        </w:rPr>
        <w:t>乙方</w:t>
      </w:r>
      <w:r>
        <w:rPr>
          <w:rFonts w:ascii="宋体" w:hAnsi="宋体"/>
          <w:b/>
          <w:sz w:val="24"/>
          <w:szCs w:val="24"/>
          <w:highlight w:val="none"/>
        </w:rPr>
        <w:t>：</w:t>
      </w:r>
      <w:r>
        <w:rPr>
          <w:rFonts w:hint="eastAsia" w:ascii="宋体" w:hAnsi="宋体"/>
          <w:sz w:val="24"/>
          <w:szCs w:val="24"/>
          <w:highlight w:val="none"/>
        </w:rPr>
        <w:t>政采云</w:t>
      </w:r>
      <w:r>
        <w:rPr>
          <w:rFonts w:ascii="宋体" w:hAnsi="宋体"/>
          <w:sz w:val="24"/>
          <w:szCs w:val="24"/>
          <w:highlight w:val="none"/>
        </w:rPr>
        <w:t>有限公司</w:t>
      </w:r>
    </w:p>
    <w:p w14:paraId="72CC89AF">
      <w:pPr>
        <w:snapToGrid w:val="0"/>
        <w:spacing w:line="360" w:lineRule="auto"/>
        <w:ind w:firstLine="480" w:firstLineChars="200"/>
        <w:rPr>
          <w:rFonts w:hint="eastAsia" w:ascii="宋体" w:hAnsi="宋体"/>
          <w:sz w:val="24"/>
          <w:szCs w:val="24"/>
          <w:highlight w:val="none"/>
        </w:rPr>
      </w:pPr>
    </w:p>
    <w:p w14:paraId="1734E7C4">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鉴于：</w:t>
      </w:r>
    </w:p>
    <w:p w14:paraId="2B6CDADC">
      <w:pPr>
        <w:snapToGrid w:val="0"/>
        <w:spacing w:line="360" w:lineRule="auto"/>
        <w:ind w:firstLine="480" w:firstLineChars="200"/>
        <w:rPr>
          <w:rFonts w:hint="eastAsia" w:ascii="宋体" w:hAnsi="宋体"/>
          <w:sz w:val="24"/>
          <w:szCs w:val="24"/>
          <w:highlight w:val="none"/>
        </w:rPr>
      </w:pPr>
      <w:r>
        <w:rPr>
          <w:rFonts w:hint="eastAsia" w:hAnsi="宋体"/>
          <w:sz w:val="24"/>
          <w:szCs w:val="24"/>
          <w:highlight w:val="none"/>
        </w:rPr>
        <w:t>1、</w:t>
      </w:r>
      <w:r>
        <w:rPr>
          <w:rFonts w:hint="eastAsia" w:ascii="宋体" w:hAnsi="宋体"/>
          <w:sz w:val="24"/>
          <w:szCs w:val="24"/>
          <w:highlight w:val="none"/>
        </w:rPr>
        <w:t>甲、乙双方拟就</w:t>
      </w:r>
      <w:r>
        <w:rPr>
          <w:rFonts w:hint="eastAsia" w:ascii="宋体" w:hAnsi="宋体"/>
          <w:sz w:val="24"/>
          <w:szCs w:val="24"/>
          <w:highlight w:val="none"/>
          <w:u w:val="single"/>
        </w:rPr>
        <w:t xml:space="preserve"> </w:t>
      </w:r>
      <w:r>
        <w:rPr>
          <w:rFonts w:hint="eastAsia" w:asciiTheme="minorEastAsia" w:hAnsiTheme="minorEastAsia" w:eastAsiaTheme="minorEastAsia"/>
          <w:bCs/>
          <w:sz w:val="24"/>
          <w:szCs w:val="24"/>
          <w:highlight w:val="none"/>
          <w:u w:val="single"/>
        </w:rPr>
        <w:t xml:space="preserve"> </w:t>
      </w:r>
      <w:r>
        <w:rPr>
          <w:rFonts w:asciiTheme="minorEastAsia" w:hAnsiTheme="minorEastAsia" w:eastAsiaTheme="minorEastAsia"/>
          <w:bCs/>
          <w:sz w:val="24"/>
          <w:szCs w:val="24"/>
          <w:highlight w:val="none"/>
          <w:u w:val="single"/>
        </w:rPr>
        <w:t xml:space="preserve">       </w:t>
      </w:r>
      <w:r>
        <w:rPr>
          <w:rFonts w:hint="eastAsia" w:ascii="宋体" w:hAnsi="宋体"/>
          <w:sz w:val="24"/>
          <w:szCs w:val="24"/>
          <w:highlight w:val="none"/>
          <w:u w:val="single"/>
        </w:rPr>
        <w:t>政府采购云平台</w:t>
      </w:r>
      <w:r>
        <w:rPr>
          <w:rFonts w:ascii="宋体" w:hAnsi="宋体"/>
          <w:sz w:val="24"/>
          <w:szCs w:val="24"/>
          <w:highlight w:val="none"/>
          <w:u w:val="single"/>
        </w:rPr>
        <w:t xml:space="preserve"> </w:t>
      </w:r>
      <w:r>
        <w:rPr>
          <w:rFonts w:hint="eastAsia" w:ascii="宋体" w:hAnsi="宋体"/>
          <w:sz w:val="24"/>
          <w:szCs w:val="24"/>
          <w:highlight w:val="none"/>
        </w:rPr>
        <w:t>项目（以下简称“本项目”）建立合作</w:t>
      </w:r>
      <w:r>
        <w:rPr>
          <w:rFonts w:ascii="宋体" w:hAnsi="宋体"/>
          <w:sz w:val="24"/>
          <w:szCs w:val="24"/>
          <w:highlight w:val="none"/>
        </w:rPr>
        <w:t>关系</w:t>
      </w:r>
      <w:r>
        <w:rPr>
          <w:rFonts w:hint="eastAsia" w:ascii="Times New Roman" w:hAnsi="Times New Roman"/>
          <w:sz w:val="24"/>
          <w:szCs w:val="24"/>
          <w:highlight w:val="none"/>
        </w:rPr>
        <w:t>，为此</w:t>
      </w:r>
      <w:r>
        <w:rPr>
          <w:rFonts w:ascii="Times New Roman" w:hAnsi="Times New Roman"/>
          <w:sz w:val="24"/>
          <w:szCs w:val="24"/>
          <w:highlight w:val="none"/>
        </w:rPr>
        <w:t>目的，</w:t>
      </w:r>
      <w:r>
        <w:rPr>
          <w:rFonts w:hint="eastAsia" w:ascii="Times New Roman" w:hAnsi="Times New Roman"/>
          <w:sz w:val="24"/>
          <w:szCs w:val="24"/>
          <w:highlight w:val="none"/>
        </w:rPr>
        <w:t>任一方已经和（或）将要向对方披露与本项目有关的非公开的、保密的、专有的信息和资料。</w:t>
      </w:r>
    </w:p>
    <w:p w14:paraId="786AF079">
      <w:pPr>
        <w:snapToGrid w:val="0"/>
        <w:spacing w:line="360" w:lineRule="auto"/>
        <w:ind w:firstLine="480" w:firstLineChars="200"/>
        <w:rPr>
          <w:rFonts w:hint="eastAsia" w:ascii="宋体" w:hAnsi="宋体"/>
          <w:sz w:val="24"/>
          <w:szCs w:val="24"/>
          <w:highlight w:val="none"/>
        </w:rPr>
      </w:pPr>
      <w:r>
        <w:rPr>
          <w:rFonts w:hint="eastAsia" w:hAnsi="宋体"/>
          <w:sz w:val="24"/>
          <w:szCs w:val="24"/>
          <w:highlight w:val="none"/>
        </w:rPr>
        <w:t>2、接</w:t>
      </w:r>
      <w:r>
        <w:rPr>
          <w:rFonts w:hint="eastAsia" w:ascii="宋体" w:hAnsi="宋体"/>
          <w:sz w:val="24"/>
          <w:szCs w:val="24"/>
          <w:highlight w:val="none"/>
        </w:rPr>
        <w:t>受方承诺接受本协议相关条款和条件的约束，履行保密义务。</w:t>
      </w:r>
    </w:p>
    <w:p w14:paraId="539ADF6B">
      <w:pPr>
        <w:snapToGrid w:val="0"/>
        <w:spacing w:line="360" w:lineRule="auto"/>
        <w:ind w:firstLine="480" w:firstLineChars="200"/>
        <w:rPr>
          <w:sz w:val="24"/>
          <w:szCs w:val="24"/>
          <w:highlight w:val="none"/>
        </w:rPr>
      </w:pPr>
      <w:r>
        <w:rPr>
          <w:rFonts w:hint="eastAsia"/>
          <w:sz w:val="24"/>
          <w:szCs w:val="24"/>
          <w:highlight w:val="none"/>
        </w:rPr>
        <w:t>为此，双方经友好</w:t>
      </w:r>
      <w:r>
        <w:rPr>
          <w:sz w:val="24"/>
          <w:szCs w:val="24"/>
          <w:highlight w:val="none"/>
        </w:rPr>
        <w:t>协商，达成</w:t>
      </w:r>
      <w:r>
        <w:rPr>
          <w:rFonts w:hint="eastAsia"/>
          <w:sz w:val="24"/>
          <w:szCs w:val="24"/>
          <w:highlight w:val="none"/>
        </w:rPr>
        <w:t>本协议</w:t>
      </w:r>
      <w:r>
        <w:rPr>
          <w:sz w:val="24"/>
          <w:szCs w:val="24"/>
          <w:highlight w:val="none"/>
        </w:rPr>
        <w:t>，以资共同遵守。</w:t>
      </w:r>
    </w:p>
    <w:p w14:paraId="42626297">
      <w:pPr>
        <w:snapToGrid w:val="0"/>
        <w:spacing w:line="360" w:lineRule="auto"/>
        <w:ind w:firstLine="482" w:firstLineChars="200"/>
        <w:outlineLvl w:val="0"/>
        <w:rPr>
          <w:rFonts w:hint="eastAsia" w:ascii="宋体" w:hAnsi="宋体"/>
          <w:b/>
          <w:sz w:val="24"/>
          <w:szCs w:val="24"/>
          <w:highlight w:val="none"/>
        </w:rPr>
      </w:pPr>
      <w:r>
        <w:rPr>
          <w:rFonts w:hint="eastAsia" w:ascii="宋体" w:hAnsi="宋体"/>
          <w:b/>
          <w:sz w:val="24"/>
          <w:szCs w:val="24"/>
          <w:highlight w:val="none"/>
        </w:rPr>
        <w:t>一、</w:t>
      </w:r>
      <w:r>
        <w:rPr>
          <w:rFonts w:ascii="宋体" w:hAnsi="宋体"/>
          <w:b/>
          <w:sz w:val="24"/>
          <w:szCs w:val="24"/>
          <w:highlight w:val="none"/>
        </w:rPr>
        <w:t>定</w:t>
      </w:r>
      <w:r>
        <w:rPr>
          <w:rFonts w:hint="eastAsia" w:ascii="宋体" w:hAnsi="宋体"/>
          <w:b/>
          <w:sz w:val="24"/>
          <w:szCs w:val="24"/>
          <w:highlight w:val="none"/>
        </w:rPr>
        <w:t>义</w:t>
      </w:r>
    </w:p>
    <w:p w14:paraId="45C4431F">
      <w:pPr>
        <w:snapToGrid w:val="0"/>
        <w:spacing w:line="360" w:lineRule="auto"/>
        <w:ind w:firstLine="480" w:firstLineChars="200"/>
        <w:rPr>
          <w:rFonts w:hint="eastAsia" w:hAnsi="宋体"/>
          <w:sz w:val="24"/>
          <w:szCs w:val="24"/>
          <w:highlight w:val="none"/>
        </w:rPr>
      </w:pPr>
      <w:r>
        <w:rPr>
          <w:rFonts w:hint="eastAsia" w:hAnsi="宋体"/>
          <w:sz w:val="24"/>
          <w:szCs w:val="24"/>
          <w:highlight w:val="none"/>
        </w:rPr>
        <w:t>1、保密信息</w:t>
      </w:r>
      <w:r>
        <w:rPr>
          <w:rFonts w:hAnsi="宋体"/>
          <w:sz w:val="24"/>
          <w:szCs w:val="24"/>
          <w:highlight w:val="none"/>
        </w:rPr>
        <w:t>：</w:t>
      </w:r>
      <w:r>
        <w:rPr>
          <w:rFonts w:hint="eastAsia" w:hAnsi="宋体"/>
          <w:sz w:val="24"/>
          <w:szCs w:val="24"/>
          <w:highlight w:val="none"/>
        </w:rPr>
        <w:t>指披露方直接或由其关联企业、政采云</w:t>
      </w:r>
      <w:r>
        <w:rPr>
          <w:rFonts w:hAnsi="宋体"/>
          <w:sz w:val="24"/>
          <w:szCs w:val="24"/>
          <w:highlight w:val="none"/>
        </w:rPr>
        <w:t>平台用户</w:t>
      </w:r>
      <w:r>
        <w:rPr>
          <w:rFonts w:hint="eastAsia" w:hAnsi="宋体"/>
          <w:sz w:val="24"/>
          <w:szCs w:val="24"/>
          <w:highlight w:val="none"/>
        </w:rPr>
        <w:t>（以下</w:t>
      </w:r>
      <w:r>
        <w:rPr>
          <w:rFonts w:hAnsi="宋体"/>
          <w:sz w:val="24"/>
          <w:szCs w:val="24"/>
          <w:highlight w:val="none"/>
        </w:rPr>
        <w:t>简称平台用户</w:t>
      </w:r>
      <w:r>
        <w:rPr>
          <w:rFonts w:hint="eastAsia" w:hAnsi="宋体"/>
          <w:sz w:val="24"/>
          <w:szCs w:val="24"/>
          <w:highlight w:val="none"/>
        </w:rPr>
        <w:t>）向接受方提供的，或接受方因本项目获得的披露方或平台</w:t>
      </w:r>
      <w:r>
        <w:rPr>
          <w:rFonts w:hAnsi="宋体"/>
          <w:sz w:val="24"/>
          <w:szCs w:val="24"/>
          <w:highlight w:val="none"/>
        </w:rPr>
        <w:t>其他用户</w:t>
      </w:r>
      <w:r>
        <w:rPr>
          <w:rFonts w:hint="eastAsia" w:hAnsi="宋体"/>
          <w:sz w:val="24"/>
          <w:szCs w:val="24"/>
          <w:highlight w:val="none"/>
        </w:rPr>
        <w:t>的信息，包括但不限于：</w:t>
      </w:r>
    </w:p>
    <w:p w14:paraId="08333414">
      <w:pPr>
        <w:snapToGrid w:val="0"/>
        <w:spacing w:line="360" w:lineRule="auto"/>
        <w:ind w:firstLine="480" w:firstLineChars="200"/>
        <w:rPr>
          <w:rFonts w:hint="eastAsia" w:hAnsi="宋体"/>
          <w:sz w:val="24"/>
          <w:szCs w:val="24"/>
          <w:highlight w:val="none"/>
        </w:rPr>
      </w:pPr>
      <w:r>
        <w:rPr>
          <w:rFonts w:hint="eastAsia" w:hAnsi="宋体"/>
          <w:sz w:val="24"/>
          <w:szCs w:val="24"/>
          <w:highlight w:val="none"/>
        </w:rPr>
        <w:t>（1）技术</w:t>
      </w:r>
      <w:r>
        <w:rPr>
          <w:rFonts w:hAnsi="宋体"/>
          <w:sz w:val="24"/>
          <w:szCs w:val="24"/>
          <w:highlight w:val="none"/>
        </w:rPr>
        <w:t>信息：</w:t>
      </w:r>
      <w:r>
        <w:rPr>
          <w:rFonts w:hint="eastAsia" w:hAnsi="宋体"/>
          <w:sz w:val="24"/>
          <w:szCs w:val="24"/>
          <w:highlight w:val="none"/>
        </w:rPr>
        <w:t>产品设计（含</w:t>
      </w:r>
      <w:r>
        <w:rPr>
          <w:rFonts w:hAnsi="宋体"/>
          <w:sz w:val="24"/>
          <w:szCs w:val="24"/>
          <w:highlight w:val="none"/>
        </w:rPr>
        <w:t>网站结构</w:t>
      </w:r>
      <w:r>
        <w:rPr>
          <w:rFonts w:hint="eastAsia" w:hAnsi="宋体"/>
          <w:sz w:val="24"/>
          <w:szCs w:val="24"/>
          <w:highlight w:val="none"/>
        </w:rPr>
        <w:t>）、技术方案、设计图纸、说明文档、手册、研发计划、程序、软件源代码、目标码、流程</w:t>
      </w:r>
      <w:r>
        <w:rPr>
          <w:rFonts w:hAnsi="宋体"/>
          <w:sz w:val="24"/>
          <w:szCs w:val="24"/>
          <w:highlight w:val="none"/>
        </w:rPr>
        <w:t>、</w:t>
      </w:r>
      <w:r>
        <w:rPr>
          <w:rFonts w:hint="eastAsia" w:hAnsi="宋体"/>
          <w:sz w:val="24"/>
          <w:szCs w:val="24"/>
          <w:highlight w:val="none"/>
        </w:rPr>
        <w:t>开发包、数据结构、算法、专有技术等信息；</w:t>
      </w:r>
    </w:p>
    <w:p w14:paraId="0C7B566E">
      <w:pPr>
        <w:snapToGrid w:val="0"/>
        <w:spacing w:line="360" w:lineRule="auto"/>
        <w:ind w:firstLine="480" w:firstLineChars="200"/>
        <w:rPr>
          <w:rFonts w:hint="eastAsia" w:hAnsi="宋体"/>
          <w:sz w:val="24"/>
          <w:szCs w:val="24"/>
          <w:highlight w:val="none"/>
        </w:rPr>
      </w:pPr>
      <w:r>
        <w:rPr>
          <w:rFonts w:hint="eastAsia" w:hAnsi="宋体"/>
          <w:sz w:val="24"/>
          <w:szCs w:val="24"/>
          <w:highlight w:val="none"/>
        </w:rPr>
        <w:t>（2）业务</w:t>
      </w:r>
      <w:r>
        <w:rPr>
          <w:rFonts w:hAnsi="宋体"/>
          <w:sz w:val="24"/>
          <w:szCs w:val="24"/>
          <w:highlight w:val="none"/>
        </w:rPr>
        <w:t>信息：</w:t>
      </w:r>
      <w:r>
        <w:rPr>
          <w:rFonts w:hint="eastAsia" w:hAnsi="宋体"/>
          <w:sz w:val="24"/>
          <w:szCs w:val="24"/>
          <w:highlight w:val="none"/>
        </w:rPr>
        <w:t>商业计划、商业运作方法、市场策略、销售方案/数据、成本分析、平台</w:t>
      </w:r>
      <w:r>
        <w:rPr>
          <w:rFonts w:hAnsi="宋体"/>
          <w:sz w:val="24"/>
          <w:szCs w:val="24"/>
          <w:highlight w:val="none"/>
        </w:rPr>
        <w:t>用户信息、</w:t>
      </w:r>
      <w:r>
        <w:rPr>
          <w:rFonts w:hint="eastAsia" w:hAnsi="宋体"/>
          <w:sz w:val="24"/>
          <w:szCs w:val="24"/>
          <w:highlight w:val="none"/>
        </w:rPr>
        <w:t>客户名单和业务往来信息、财务数据、人事数据、</w:t>
      </w:r>
      <w:r>
        <w:rPr>
          <w:rFonts w:hAnsi="宋体"/>
          <w:sz w:val="24"/>
          <w:szCs w:val="24"/>
          <w:highlight w:val="none"/>
        </w:rPr>
        <w:t>资源消耗数量、通信流量大小</w:t>
      </w:r>
      <w:r>
        <w:rPr>
          <w:rFonts w:hint="eastAsia" w:hAnsi="宋体"/>
          <w:sz w:val="24"/>
          <w:szCs w:val="24"/>
          <w:highlight w:val="none"/>
        </w:rPr>
        <w:t>等信息；</w:t>
      </w:r>
    </w:p>
    <w:p w14:paraId="7ADCA283">
      <w:pPr>
        <w:snapToGrid w:val="0"/>
        <w:spacing w:line="360" w:lineRule="auto"/>
        <w:ind w:firstLine="480" w:firstLineChars="200"/>
        <w:rPr>
          <w:rFonts w:hint="eastAsia" w:hAnsi="宋体"/>
          <w:sz w:val="24"/>
          <w:szCs w:val="24"/>
          <w:highlight w:val="none"/>
        </w:rPr>
      </w:pPr>
      <w:r>
        <w:rPr>
          <w:rFonts w:hint="eastAsia" w:hAnsi="宋体"/>
          <w:sz w:val="24"/>
          <w:szCs w:val="24"/>
          <w:highlight w:val="none"/>
        </w:rPr>
        <w:t>（3）安全</w:t>
      </w:r>
      <w:r>
        <w:rPr>
          <w:rFonts w:hAnsi="宋体"/>
          <w:sz w:val="24"/>
          <w:szCs w:val="24"/>
          <w:highlight w:val="none"/>
        </w:rPr>
        <w:t>信息：包括账号、口令、密钥</w:t>
      </w:r>
      <w:r>
        <w:rPr>
          <w:rFonts w:hint="eastAsia" w:hAnsi="宋体"/>
          <w:sz w:val="24"/>
          <w:szCs w:val="24"/>
          <w:highlight w:val="none"/>
        </w:rPr>
        <w:t>、</w:t>
      </w:r>
      <w:r>
        <w:rPr>
          <w:rFonts w:hAnsi="宋体"/>
          <w:sz w:val="24"/>
          <w:szCs w:val="24"/>
          <w:highlight w:val="none"/>
        </w:rPr>
        <w:t>授权等用于对网络、系统、进程等进行访问的身份与权限数据</w:t>
      </w:r>
      <w:r>
        <w:rPr>
          <w:rFonts w:hint="eastAsia" w:hAnsi="宋体"/>
          <w:sz w:val="24"/>
          <w:szCs w:val="24"/>
          <w:highlight w:val="none"/>
        </w:rPr>
        <w:t>，</w:t>
      </w:r>
      <w:r>
        <w:rPr>
          <w:rFonts w:hAnsi="宋体"/>
          <w:sz w:val="24"/>
          <w:szCs w:val="24"/>
          <w:highlight w:val="none"/>
        </w:rPr>
        <w:t>还包括对正当履行自身工作职责所需要的重要、适当和必</w:t>
      </w:r>
      <w:r>
        <w:rPr>
          <w:rFonts w:hint="eastAsia" w:hAnsi="宋体"/>
          <w:sz w:val="24"/>
          <w:szCs w:val="24"/>
          <w:highlight w:val="none"/>
        </w:rPr>
        <w:t>要</w:t>
      </w:r>
      <w:r>
        <w:rPr>
          <w:rFonts w:hAnsi="宋体"/>
          <w:sz w:val="24"/>
          <w:szCs w:val="24"/>
          <w:highlight w:val="none"/>
        </w:rPr>
        <w:t>的信息；</w:t>
      </w:r>
    </w:p>
    <w:p w14:paraId="6FE69772">
      <w:pPr>
        <w:snapToGrid w:val="0"/>
        <w:spacing w:line="360" w:lineRule="auto"/>
        <w:ind w:firstLine="480" w:firstLineChars="200"/>
        <w:rPr>
          <w:rFonts w:hint="eastAsia" w:hAnsi="宋体"/>
          <w:sz w:val="24"/>
          <w:szCs w:val="24"/>
          <w:highlight w:val="none"/>
        </w:rPr>
      </w:pPr>
      <w:r>
        <w:rPr>
          <w:rFonts w:hint="eastAsia" w:hAnsi="宋体"/>
          <w:sz w:val="24"/>
          <w:szCs w:val="24"/>
          <w:highlight w:val="none"/>
        </w:rPr>
        <w:t>（4）其他任何标记或指明为“保密”“受控”等字样的载体及其内含信息。</w:t>
      </w:r>
    </w:p>
    <w:p w14:paraId="5573C7E9">
      <w:pPr>
        <w:snapToGrid w:val="0"/>
        <w:spacing w:line="360" w:lineRule="auto"/>
        <w:ind w:firstLine="480" w:firstLineChars="200"/>
        <w:rPr>
          <w:sz w:val="24"/>
          <w:szCs w:val="24"/>
          <w:highlight w:val="none"/>
        </w:rPr>
      </w:pPr>
      <w:r>
        <w:rPr>
          <w:rFonts w:hint="eastAsia" w:hAnsi="宋体"/>
          <w:sz w:val="24"/>
          <w:szCs w:val="24"/>
          <w:highlight w:val="none"/>
        </w:rPr>
        <w:t>若披露方以口头和（或）视听方式提供，则应在披露之日起</w:t>
      </w:r>
      <w:r>
        <w:rPr>
          <w:rFonts w:hAnsi="宋体"/>
          <w:sz w:val="24"/>
          <w:szCs w:val="24"/>
          <w:highlight w:val="none"/>
        </w:rPr>
        <w:t>5</w:t>
      </w:r>
      <w:r>
        <w:rPr>
          <w:rFonts w:hint="eastAsia" w:hAnsi="宋体"/>
          <w:sz w:val="24"/>
          <w:szCs w:val="24"/>
          <w:highlight w:val="none"/>
        </w:rPr>
        <w:t>日内，以书面的方式摘要前述以口头和（或）视听方式披露的保密信息并指明其保密性。</w:t>
      </w:r>
    </w:p>
    <w:p w14:paraId="0A9BC606">
      <w:pPr>
        <w:snapToGrid w:val="0"/>
        <w:spacing w:line="360" w:lineRule="auto"/>
        <w:ind w:firstLine="480" w:firstLineChars="200"/>
        <w:rPr>
          <w:sz w:val="24"/>
          <w:szCs w:val="24"/>
          <w:highlight w:val="none"/>
        </w:rPr>
      </w:pPr>
      <w:r>
        <w:rPr>
          <w:sz w:val="24"/>
          <w:szCs w:val="24"/>
          <w:highlight w:val="none"/>
        </w:rPr>
        <w:t>2</w:t>
      </w:r>
      <w:r>
        <w:rPr>
          <w:rFonts w:hint="eastAsia"/>
          <w:sz w:val="24"/>
          <w:szCs w:val="24"/>
          <w:highlight w:val="none"/>
        </w:rPr>
        <w:t>、</w:t>
      </w:r>
      <w:r>
        <w:rPr>
          <w:sz w:val="24"/>
          <w:szCs w:val="24"/>
          <w:highlight w:val="none"/>
        </w:rPr>
        <w:t>平台用户：指</w:t>
      </w:r>
      <w:r>
        <w:rPr>
          <w:rFonts w:hint="eastAsia"/>
          <w:sz w:val="24"/>
          <w:szCs w:val="24"/>
          <w:highlight w:val="none"/>
        </w:rPr>
        <w:t>具有享受政采云平台各项服务相应的民事行为能力，已入驻</w:t>
      </w:r>
      <w:r>
        <w:rPr>
          <w:sz w:val="24"/>
          <w:szCs w:val="24"/>
          <w:highlight w:val="none"/>
        </w:rPr>
        <w:t>平台或</w:t>
      </w:r>
      <w:r>
        <w:rPr>
          <w:rFonts w:hint="eastAsia"/>
          <w:sz w:val="24"/>
          <w:szCs w:val="24"/>
          <w:highlight w:val="none"/>
        </w:rPr>
        <w:t>完成平台注册程序的</w:t>
      </w:r>
      <w:r>
        <w:rPr>
          <w:sz w:val="24"/>
          <w:szCs w:val="24"/>
          <w:highlight w:val="none"/>
        </w:rPr>
        <w:t>自然人、法人或其他组织，</w:t>
      </w:r>
      <w:r>
        <w:rPr>
          <w:rFonts w:hint="eastAsia"/>
          <w:sz w:val="24"/>
          <w:szCs w:val="24"/>
          <w:highlight w:val="none"/>
        </w:rPr>
        <w:t>包括但不限于采购人、供应商</w:t>
      </w:r>
      <w:r>
        <w:rPr>
          <w:sz w:val="24"/>
          <w:szCs w:val="24"/>
          <w:highlight w:val="none"/>
        </w:rPr>
        <w:t>、</w:t>
      </w:r>
      <w:r>
        <w:rPr>
          <w:rFonts w:hint="eastAsia"/>
          <w:sz w:val="24"/>
          <w:szCs w:val="24"/>
          <w:highlight w:val="none"/>
        </w:rPr>
        <w:t>代理机构、评审专家、</w:t>
      </w:r>
      <w:r>
        <w:rPr>
          <w:sz w:val="24"/>
          <w:szCs w:val="24"/>
          <w:highlight w:val="none"/>
        </w:rPr>
        <w:t>政府</w:t>
      </w:r>
      <w:r>
        <w:rPr>
          <w:rFonts w:hint="eastAsia"/>
          <w:sz w:val="24"/>
          <w:szCs w:val="24"/>
          <w:highlight w:val="none"/>
        </w:rPr>
        <w:t>采购</w:t>
      </w:r>
      <w:r>
        <w:rPr>
          <w:sz w:val="24"/>
          <w:szCs w:val="24"/>
          <w:highlight w:val="none"/>
        </w:rPr>
        <w:t>监管部门</w:t>
      </w:r>
      <w:r>
        <w:rPr>
          <w:rFonts w:hint="eastAsia"/>
          <w:sz w:val="24"/>
          <w:szCs w:val="24"/>
          <w:highlight w:val="none"/>
        </w:rPr>
        <w:t>等。</w:t>
      </w:r>
    </w:p>
    <w:p w14:paraId="22968E06">
      <w:pPr>
        <w:snapToGrid w:val="0"/>
        <w:spacing w:line="360" w:lineRule="auto"/>
        <w:ind w:firstLine="480" w:firstLineChars="200"/>
        <w:rPr>
          <w:sz w:val="24"/>
          <w:szCs w:val="24"/>
          <w:highlight w:val="none"/>
        </w:rPr>
      </w:pPr>
      <w:r>
        <w:rPr>
          <w:sz w:val="24"/>
          <w:szCs w:val="24"/>
          <w:highlight w:val="none"/>
        </w:rPr>
        <w:t>3</w:t>
      </w:r>
      <w:r>
        <w:rPr>
          <w:rFonts w:hint="eastAsia"/>
          <w:sz w:val="24"/>
          <w:szCs w:val="24"/>
          <w:highlight w:val="none"/>
        </w:rPr>
        <w:t>、</w:t>
      </w:r>
      <w:r>
        <w:rPr>
          <w:rFonts w:hAnsi="宋体"/>
          <w:sz w:val="24"/>
          <w:szCs w:val="24"/>
          <w:highlight w:val="none"/>
        </w:rPr>
        <w:t>关联</w:t>
      </w:r>
      <w:r>
        <w:rPr>
          <w:rFonts w:hint="eastAsia" w:hAnsi="宋体"/>
          <w:sz w:val="24"/>
          <w:szCs w:val="24"/>
          <w:highlight w:val="none"/>
        </w:rPr>
        <w:t>企业：一方的关联企业是指由一方直接控制或间接控制；或直接或间接控制一方；或与一方共同控制同一家公司或能对其施加重大影响；或与一方受同一家公司直接或间接控制的实体</w:t>
      </w:r>
      <w:r>
        <w:rPr>
          <w:rFonts w:hint="eastAsia"/>
          <w:sz w:val="24"/>
          <w:szCs w:val="24"/>
          <w:highlight w:val="none"/>
        </w:rPr>
        <w:t>。前述“控制”指指直接或间接地拥有影响所提及公司管理的能力，无论是通过所有权、有投票权的股份、合同或其他被人民法院认定的方式。</w:t>
      </w:r>
    </w:p>
    <w:p w14:paraId="73B3D386">
      <w:pPr>
        <w:snapToGrid w:val="0"/>
        <w:spacing w:line="360" w:lineRule="auto"/>
        <w:ind w:firstLine="480" w:firstLineChars="200"/>
        <w:rPr>
          <w:sz w:val="24"/>
          <w:szCs w:val="24"/>
          <w:highlight w:val="none"/>
        </w:rPr>
      </w:pPr>
      <w:r>
        <w:rPr>
          <w:rFonts w:hAnsi="宋体"/>
          <w:sz w:val="24"/>
          <w:szCs w:val="24"/>
          <w:highlight w:val="none"/>
        </w:rPr>
        <w:t>4</w:t>
      </w:r>
      <w:r>
        <w:rPr>
          <w:rFonts w:hint="eastAsia" w:hAnsi="宋体"/>
          <w:sz w:val="24"/>
          <w:szCs w:val="24"/>
          <w:highlight w:val="none"/>
        </w:rPr>
        <w:t>、</w:t>
      </w:r>
      <w:r>
        <w:rPr>
          <w:rFonts w:hAnsi="宋体"/>
          <w:sz w:val="24"/>
          <w:szCs w:val="24"/>
          <w:highlight w:val="none"/>
        </w:rPr>
        <w:t>披露方：</w:t>
      </w:r>
      <w:r>
        <w:rPr>
          <w:rFonts w:hint="eastAsia" w:hAnsi="宋体"/>
          <w:sz w:val="24"/>
          <w:szCs w:val="24"/>
          <w:highlight w:val="none"/>
        </w:rPr>
        <w:t>指本协议项下提供保密信息的一方（含</w:t>
      </w:r>
      <w:r>
        <w:rPr>
          <w:rFonts w:hAnsi="宋体"/>
          <w:sz w:val="24"/>
          <w:szCs w:val="24"/>
          <w:highlight w:val="none"/>
        </w:rPr>
        <w:t>平台用户</w:t>
      </w:r>
      <w:r>
        <w:rPr>
          <w:rFonts w:hint="eastAsia" w:hAnsi="宋体"/>
          <w:sz w:val="24"/>
          <w:szCs w:val="24"/>
          <w:highlight w:val="none"/>
        </w:rPr>
        <w:t>）；接受方：指接收保密信息的另一方。</w:t>
      </w:r>
    </w:p>
    <w:p w14:paraId="03BE6BE6">
      <w:pPr>
        <w:snapToGrid w:val="0"/>
        <w:spacing w:line="360" w:lineRule="auto"/>
        <w:ind w:firstLine="480" w:firstLineChars="200"/>
        <w:rPr>
          <w:rFonts w:hint="eastAsia" w:hAnsi="宋体"/>
          <w:sz w:val="24"/>
          <w:szCs w:val="24"/>
          <w:highlight w:val="none"/>
        </w:rPr>
      </w:pPr>
      <w:r>
        <w:rPr>
          <w:sz w:val="24"/>
          <w:szCs w:val="24"/>
          <w:highlight w:val="none"/>
        </w:rPr>
        <w:t>5</w:t>
      </w:r>
      <w:r>
        <w:rPr>
          <w:rFonts w:hint="eastAsia"/>
          <w:sz w:val="24"/>
          <w:szCs w:val="24"/>
          <w:highlight w:val="none"/>
        </w:rPr>
        <w:t>、</w:t>
      </w:r>
      <w:r>
        <w:rPr>
          <w:sz w:val="24"/>
          <w:szCs w:val="24"/>
          <w:highlight w:val="none"/>
        </w:rPr>
        <w:t>代表：</w:t>
      </w:r>
      <w:r>
        <w:rPr>
          <w:rFonts w:hint="eastAsia"/>
          <w:sz w:val="24"/>
          <w:szCs w:val="24"/>
          <w:highlight w:val="none"/>
        </w:rPr>
        <w:t>指一方和/或其关联公司的董事、中高级管理人员、员工及律师、会计师、财务顾问等专业顾问。</w:t>
      </w:r>
    </w:p>
    <w:p w14:paraId="4D422038">
      <w:pPr>
        <w:snapToGrid w:val="0"/>
        <w:spacing w:line="360" w:lineRule="auto"/>
        <w:ind w:firstLine="482" w:firstLineChars="200"/>
        <w:outlineLvl w:val="0"/>
        <w:rPr>
          <w:rFonts w:hint="eastAsia" w:ascii="宋体" w:hAnsi="宋体"/>
          <w:b/>
          <w:sz w:val="24"/>
          <w:szCs w:val="24"/>
          <w:highlight w:val="none"/>
        </w:rPr>
      </w:pPr>
      <w:r>
        <w:rPr>
          <w:rFonts w:hint="eastAsia" w:ascii="宋体" w:hAnsi="宋体"/>
          <w:b/>
          <w:sz w:val="24"/>
          <w:szCs w:val="24"/>
          <w:highlight w:val="none"/>
        </w:rPr>
        <w:t>二、保密</w:t>
      </w:r>
      <w:r>
        <w:rPr>
          <w:rFonts w:ascii="宋体" w:hAnsi="宋体"/>
          <w:b/>
          <w:sz w:val="24"/>
          <w:szCs w:val="24"/>
          <w:highlight w:val="none"/>
        </w:rPr>
        <w:t>信息用途</w:t>
      </w:r>
    </w:p>
    <w:p w14:paraId="404FAE97">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接受方保证保密信息仅用于本项目之合作目的或双方另行书面约定的用途和范围。未经披露方书面授权或同意，接受方不得将保密信息用于其他用途。</w:t>
      </w:r>
    </w:p>
    <w:p w14:paraId="192D11EA">
      <w:pPr>
        <w:snapToGrid w:val="0"/>
        <w:spacing w:line="360" w:lineRule="auto"/>
        <w:ind w:firstLine="482" w:firstLineChars="200"/>
        <w:outlineLvl w:val="0"/>
        <w:rPr>
          <w:rFonts w:hint="eastAsia" w:ascii="宋体" w:hAnsi="宋体"/>
          <w:b/>
          <w:sz w:val="24"/>
          <w:szCs w:val="24"/>
          <w:highlight w:val="none"/>
        </w:rPr>
      </w:pPr>
      <w:r>
        <w:rPr>
          <w:rFonts w:hint="eastAsia" w:ascii="宋体" w:hAnsi="宋体"/>
          <w:b/>
          <w:sz w:val="24"/>
          <w:szCs w:val="24"/>
          <w:highlight w:val="none"/>
        </w:rPr>
        <w:t>三</w:t>
      </w:r>
      <w:r>
        <w:rPr>
          <w:rFonts w:ascii="宋体" w:hAnsi="宋体"/>
          <w:b/>
          <w:sz w:val="24"/>
          <w:szCs w:val="24"/>
          <w:highlight w:val="none"/>
        </w:rPr>
        <w:t>、接收方义务</w:t>
      </w:r>
    </w:p>
    <w:p w14:paraId="72A159F9">
      <w:pPr>
        <w:snapToGrid w:val="0"/>
        <w:spacing w:line="360" w:lineRule="auto"/>
        <w:ind w:firstLine="480" w:firstLineChars="200"/>
        <w:rPr>
          <w:sz w:val="24"/>
          <w:szCs w:val="24"/>
          <w:highlight w:val="none"/>
        </w:rPr>
      </w:pPr>
      <w:r>
        <w:rPr>
          <w:sz w:val="24"/>
          <w:szCs w:val="24"/>
          <w:highlight w:val="none"/>
        </w:rPr>
        <w:t>1</w:t>
      </w:r>
      <w:r>
        <w:rPr>
          <w:rFonts w:hint="eastAsia"/>
          <w:sz w:val="24"/>
          <w:szCs w:val="24"/>
          <w:highlight w:val="none"/>
        </w:rPr>
        <w:t>、接受方保证至少以对待己方所有的类似信息的谨慎程度对待披露方的保密信息，且将采取不低于一般合理水平的必要措施保护披露方的保密信息，防止该等信息被用于非授权的用途或泄漏。</w:t>
      </w:r>
    </w:p>
    <w:p w14:paraId="0F2E6FD4">
      <w:pPr>
        <w:snapToGrid w:val="0"/>
        <w:spacing w:line="360" w:lineRule="auto"/>
        <w:ind w:firstLine="480" w:firstLineChars="200"/>
        <w:rPr>
          <w:sz w:val="24"/>
          <w:szCs w:val="24"/>
          <w:highlight w:val="none"/>
        </w:rPr>
      </w:pPr>
      <w:r>
        <w:rPr>
          <w:rFonts w:hint="eastAsia"/>
          <w:sz w:val="24"/>
          <w:szCs w:val="24"/>
          <w:highlight w:val="none"/>
        </w:rPr>
        <w:t>2、未经披露方书面同意，接受方不得公开宣布或透露本协议的存在及其条款或条件，也不得向第三方泄露与本项目有关的任何信息，包括但不限于：与本项目有关的讨论、谈判、协商、项目条件、交流文件及其他信息，除非根据有关法律、法规的规定应向有关政府主管部门办理有关批准、备案等手续，或根据司法机关的强制性要求而应作出的披露，或向律师、会计师或其他专业中介机构披露以取得专业意见。</w:t>
      </w:r>
    </w:p>
    <w:p w14:paraId="58F78DE5">
      <w:pPr>
        <w:snapToGrid w:val="0"/>
        <w:spacing w:line="360" w:lineRule="auto"/>
        <w:ind w:firstLine="480" w:firstLineChars="200"/>
        <w:rPr>
          <w:sz w:val="24"/>
          <w:szCs w:val="24"/>
          <w:highlight w:val="none"/>
        </w:rPr>
      </w:pPr>
      <w:r>
        <w:rPr>
          <w:sz w:val="24"/>
          <w:szCs w:val="24"/>
          <w:highlight w:val="none"/>
        </w:rPr>
        <w:t>3</w:t>
      </w:r>
      <w:r>
        <w:rPr>
          <w:rFonts w:hint="eastAsia"/>
          <w:sz w:val="24"/>
          <w:szCs w:val="24"/>
          <w:highlight w:val="none"/>
        </w:rPr>
        <w:t>、为实现本项目之目的，接受方有权向其因履行职责而必须了解披露方的保密信息的代表透露必要的信息资料，但接受方应通过签订保密协议等方式促使上述因工作关系知悉、接触披露方保密信息的代表承担不低于本协议的保密义务。</w:t>
      </w:r>
    </w:p>
    <w:p w14:paraId="2050A0C3">
      <w:pPr>
        <w:snapToGrid w:val="0"/>
        <w:spacing w:line="360" w:lineRule="auto"/>
        <w:ind w:firstLine="480" w:firstLineChars="200"/>
        <w:rPr>
          <w:sz w:val="24"/>
          <w:szCs w:val="24"/>
          <w:highlight w:val="none"/>
        </w:rPr>
      </w:pPr>
      <w:r>
        <w:rPr>
          <w:sz w:val="24"/>
          <w:szCs w:val="24"/>
          <w:highlight w:val="none"/>
        </w:rPr>
        <w:t>4</w:t>
      </w:r>
      <w:r>
        <w:rPr>
          <w:rFonts w:hint="eastAsia"/>
          <w:sz w:val="24"/>
          <w:szCs w:val="24"/>
          <w:highlight w:val="none"/>
        </w:rPr>
        <w:t>、接受方同意将其代表视同接受方自身，该等代表对保密信息的任何未经授权的使用和泄露都将被视为是接受方对保密信息进行了非授权的使用和泄露，由接受方承担责任。</w:t>
      </w:r>
    </w:p>
    <w:p w14:paraId="29276D48">
      <w:pPr>
        <w:snapToGrid w:val="0"/>
        <w:spacing w:line="360" w:lineRule="auto"/>
        <w:ind w:firstLine="480" w:firstLineChars="200"/>
        <w:rPr>
          <w:sz w:val="24"/>
          <w:szCs w:val="24"/>
          <w:highlight w:val="none"/>
        </w:rPr>
      </w:pPr>
      <w:r>
        <w:rPr>
          <w:rFonts w:hint="eastAsia"/>
          <w:sz w:val="24"/>
          <w:szCs w:val="24"/>
          <w:highlight w:val="none"/>
        </w:rPr>
        <w:t>5、未经披露方书面同意，接受方不得对披露方提供的产品等进行反向工程、编辑或分解，不得对披露方提供的原件或复印件上的任何版权、商标、标志、图例或其他标识进行转移、套印或损坏。</w:t>
      </w:r>
    </w:p>
    <w:p w14:paraId="1054D4D0">
      <w:pPr>
        <w:snapToGrid w:val="0"/>
        <w:spacing w:line="360" w:lineRule="auto"/>
        <w:ind w:firstLine="482" w:firstLineChars="200"/>
        <w:outlineLvl w:val="0"/>
        <w:rPr>
          <w:rFonts w:hint="eastAsia" w:ascii="宋体" w:hAnsi="宋体"/>
          <w:b/>
          <w:sz w:val="24"/>
          <w:szCs w:val="24"/>
          <w:highlight w:val="none"/>
        </w:rPr>
      </w:pPr>
      <w:r>
        <w:rPr>
          <w:rFonts w:hint="eastAsia" w:ascii="宋体" w:hAnsi="宋体"/>
          <w:b/>
          <w:sz w:val="24"/>
          <w:szCs w:val="24"/>
          <w:highlight w:val="none"/>
        </w:rPr>
        <w:t>四、保密义务的例外</w:t>
      </w:r>
    </w:p>
    <w:p w14:paraId="2BFF7CBC">
      <w:pPr>
        <w:snapToGrid w:val="0"/>
        <w:spacing w:line="360" w:lineRule="auto"/>
        <w:ind w:firstLine="480" w:firstLineChars="200"/>
        <w:rPr>
          <w:sz w:val="24"/>
          <w:szCs w:val="24"/>
          <w:highlight w:val="none"/>
        </w:rPr>
      </w:pPr>
      <w:r>
        <w:rPr>
          <w:rFonts w:hint="eastAsia"/>
          <w:sz w:val="24"/>
          <w:szCs w:val="24"/>
          <w:highlight w:val="none"/>
        </w:rPr>
        <w:t>下列信息不属于本协议所定义的保密信息，不受保密义务的约束：</w:t>
      </w:r>
    </w:p>
    <w:p w14:paraId="474193BD">
      <w:pPr>
        <w:snapToGrid w:val="0"/>
        <w:spacing w:line="360" w:lineRule="auto"/>
        <w:ind w:firstLine="480" w:firstLineChars="200"/>
        <w:rPr>
          <w:sz w:val="24"/>
          <w:szCs w:val="24"/>
          <w:highlight w:val="none"/>
        </w:rPr>
      </w:pPr>
      <w:r>
        <w:rPr>
          <w:sz w:val="24"/>
          <w:szCs w:val="24"/>
          <w:highlight w:val="none"/>
        </w:rPr>
        <w:t>1</w:t>
      </w:r>
      <w:r>
        <w:rPr>
          <w:rFonts w:hint="eastAsia"/>
          <w:sz w:val="24"/>
          <w:szCs w:val="24"/>
          <w:highlight w:val="none"/>
        </w:rPr>
        <w:t>、披露方披露之时或之后已进入公众领域的有关信息，但因接受方违反保密义务而使有关信息进入公众领域的除外；</w:t>
      </w:r>
    </w:p>
    <w:p w14:paraId="7AAAF1F3">
      <w:pPr>
        <w:snapToGrid w:val="0"/>
        <w:spacing w:line="360" w:lineRule="auto"/>
        <w:ind w:firstLine="480" w:firstLineChars="200"/>
        <w:rPr>
          <w:sz w:val="24"/>
          <w:szCs w:val="24"/>
          <w:highlight w:val="none"/>
        </w:rPr>
      </w:pPr>
      <w:r>
        <w:rPr>
          <w:sz w:val="24"/>
          <w:szCs w:val="24"/>
          <w:highlight w:val="none"/>
        </w:rPr>
        <w:t>2</w:t>
      </w:r>
      <w:r>
        <w:rPr>
          <w:rFonts w:hint="eastAsia"/>
          <w:sz w:val="24"/>
          <w:szCs w:val="24"/>
          <w:highlight w:val="none"/>
        </w:rPr>
        <w:t>、接受方能够证明在披露方披露之时已经为接受方正当拥有且不承担任何保密义务的信息；</w:t>
      </w:r>
    </w:p>
    <w:p w14:paraId="5E7D2F66">
      <w:pPr>
        <w:snapToGrid w:val="0"/>
        <w:spacing w:line="360" w:lineRule="auto"/>
        <w:ind w:firstLine="480" w:firstLineChars="200"/>
        <w:rPr>
          <w:sz w:val="24"/>
          <w:szCs w:val="24"/>
          <w:highlight w:val="none"/>
        </w:rPr>
      </w:pPr>
      <w:r>
        <w:rPr>
          <w:sz w:val="24"/>
          <w:szCs w:val="24"/>
          <w:highlight w:val="none"/>
        </w:rPr>
        <w:t>3</w:t>
      </w:r>
      <w:r>
        <w:rPr>
          <w:rFonts w:hint="eastAsia"/>
          <w:sz w:val="24"/>
          <w:szCs w:val="24"/>
          <w:highlight w:val="none"/>
        </w:rPr>
        <w:t>、接受方能够证明从第三方正当获知的信息，</w:t>
      </w:r>
      <w:r>
        <w:rPr>
          <w:rFonts w:hAnsi="宋体"/>
          <w:sz w:val="24"/>
          <w:szCs w:val="24"/>
          <w:highlight w:val="none"/>
        </w:rPr>
        <w:t>并且就</w:t>
      </w:r>
      <w:r>
        <w:rPr>
          <w:rFonts w:hint="eastAsia" w:hAnsi="宋体"/>
          <w:sz w:val="24"/>
          <w:szCs w:val="24"/>
          <w:highlight w:val="none"/>
        </w:rPr>
        <w:t>接受方</w:t>
      </w:r>
      <w:r>
        <w:rPr>
          <w:rFonts w:hAnsi="宋体"/>
          <w:sz w:val="24"/>
          <w:szCs w:val="24"/>
          <w:highlight w:val="none"/>
        </w:rPr>
        <w:t>所知</w:t>
      </w:r>
      <w:r>
        <w:rPr>
          <w:rFonts w:hint="eastAsia" w:hAnsi="宋体"/>
          <w:sz w:val="24"/>
          <w:szCs w:val="24"/>
          <w:highlight w:val="none"/>
        </w:rPr>
        <w:t>，</w:t>
      </w:r>
      <w:r>
        <w:rPr>
          <w:rFonts w:hint="eastAsia"/>
          <w:sz w:val="24"/>
          <w:szCs w:val="24"/>
          <w:highlight w:val="none"/>
        </w:rPr>
        <w:t>该第三方有权将有关信息披露给接受方并且该披露行为不违反任何保密义务；</w:t>
      </w:r>
    </w:p>
    <w:p w14:paraId="2EA43024">
      <w:pPr>
        <w:snapToGrid w:val="0"/>
        <w:spacing w:line="360" w:lineRule="auto"/>
        <w:ind w:firstLine="480" w:firstLineChars="200"/>
        <w:rPr>
          <w:sz w:val="24"/>
          <w:szCs w:val="24"/>
          <w:highlight w:val="none"/>
        </w:rPr>
      </w:pPr>
      <w:r>
        <w:rPr>
          <w:sz w:val="24"/>
          <w:szCs w:val="24"/>
          <w:highlight w:val="none"/>
        </w:rPr>
        <w:t>4</w:t>
      </w:r>
      <w:r>
        <w:rPr>
          <w:rFonts w:hint="eastAsia"/>
          <w:sz w:val="24"/>
          <w:szCs w:val="24"/>
          <w:highlight w:val="none"/>
        </w:rPr>
        <w:t>、有证据、记录证明是由接受方独立开发、产生的信息；</w:t>
      </w:r>
    </w:p>
    <w:p w14:paraId="18A588D1">
      <w:pPr>
        <w:snapToGrid w:val="0"/>
        <w:spacing w:line="360" w:lineRule="auto"/>
        <w:ind w:firstLine="480" w:firstLineChars="200"/>
        <w:rPr>
          <w:sz w:val="24"/>
          <w:szCs w:val="24"/>
          <w:highlight w:val="none"/>
        </w:rPr>
      </w:pPr>
      <w:r>
        <w:rPr>
          <w:sz w:val="24"/>
          <w:szCs w:val="24"/>
          <w:highlight w:val="none"/>
        </w:rPr>
        <w:t>5</w:t>
      </w:r>
      <w:r>
        <w:rPr>
          <w:rFonts w:hint="eastAsia"/>
          <w:sz w:val="24"/>
          <w:szCs w:val="24"/>
          <w:highlight w:val="none"/>
        </w:rPr>
        <w:t>、由披露方自行披露或书面同意披露的信息；</w:t>
      </w:r>
    </w:p>
    <w:p w14:paraId="365392C9">
      <w:pPr>
        <w:snapToGrid w:val="0"/>
        <w:spacing w:line="360" w:lineRule="auto"/>
        <w:ind w:firstLine="480" w:firstLineChars="200"/>
        <w:rPr>
          <w:sz w:val="24"/>
          <w:szCs w:val="24"/>
          <w:highlight w:val="none"/>
        </w:rPr>
      </w:pPr>
      <w:r>
        <w:rPr>
          <w:sz w:val="24"/>
          <w:szCs w:val="24"/>
          <w:highlight w:val="none"/>
        </w:rPr>
        <w:t>6</w:t>
      </w:r>
      <w:r>
        <w:rPr>
          <w:rFonts w:hint="eastAsia"/>
          <w:sz w:val="24"/>
          <w:szCs w:val="24"/>
          <w:highlight w:val="none"/>
        </w:rPr>
        <w:t>、接受方根据法律、法规等强制性规定或政府主管部门、司法机关等有关机构依照法定程序、职权的要求所必要、合理披露的信息。</w:t>
      </w:r>
      <w:r>
        <w:rPr>
          <w:rFonts w:hAnsi="宋体"/>
          <w:sz w:val="24"/>
          <w:szCs w:val="24"/>
          <w:highlight w:val="none"/>
        </w:rPr>
        <w:t>在此情况下，除非前述</w:t>
      </w:r>
      <w:r>
        <w:rPr>
          <w:rFonts w:hint="eastAsia" w:hAnsi="宋体"/>
          <w:sz w:val="24"/>
          <w:szCs w:val="24"/>
          <w:highlight w:val="none"/>
        </w:rPr>
        <w:t>政府主管部门、司法机关</w:t>
      </w:r>
      <w:r>
        <w:rPr>
          <w:rFonts w:hAnsi="宋体"/>
          <w:sz w:val="24"/>
          <w:szCs w:val="24"/>
          <w:highlight w:val="none"/>
        </w:rPr>
        <w:t>限制或禁止，或者前述适用法律、法规限制或禁止，</w:t>
      </w:r>
      <w:r>
        <w:rPr>
          <w:rFonts w:hint="eastAsia" w:hAnsi="宋体"/>
          <w:sz w:val="24"/>
          <w:szCs w:val="24"/>
          <w:highlight w:val="none"/>
        </w:rPr>
        <w:t>接受方</w:t>
      </w:r>
      <w:r>
        <w:rPr>
          <w:rFonts w:hAnsi="宋体"/>
          <w:sz w:val="24"/>
          <w:szCs w:val="24"/>
          <w:highlight w:val="none"/>
        </w:rPr>
        <w:t>应首先给予</w:t>
      </w:r>
      <w:r>
        <w:rPr>
          <w:rFonts w:hint="eastAsia" w:hAnsi="宋体"/>
          <w:sz w:val="24"/>
          <w:szCs w:val="24"/>
          <w:highlight w:val="none"/>
        </w:rPr>
        <w:t>披露方</w:t>
      </w:r>
      <w:r>
        <w:rPr>
          <w:rFonts w:hAnsi="宋体"/>
          <w:sz w:val="24"/>
          <w:szCs w:val="24"/>
          <w:highlight w:val="none"/>
        </w:rPr>
        <w:t>合理的书面通知，并由双方共同努力，在不违反法律法规的前提下，尽量避免、减少因透露该等信息而造成的损失。</w:t>
      </w:r>
    </w:p>
    <w:p w14:paraId="3042D174">
      <w:pPr>
        <w:snapToGrid w:val="0"/>
        <w:spacing w:line="360" w:lineRule="auto"/>
        <w:ind w:firstLine="482" w:firstLineChars="200"/>
        <w:outlineLvl w:val="0"/>
        <w:rPr>
          <w:rFonts w:hint="eastAsia" w:ascii="宋体" w:hAnsi="宋体"/>
          <w:b/>
          <w:sz w:val="24"/>
          <w:szCs w:val="24"/>
          <w:highlight w:val="none"/>
        </w:rPr>
      </w:pPr>
      <w:r>
        <w:rPr>
          <w:rFonts w:hint="eastAsia" w:ascii="宋体" w:hAnsi="宋体"/>
          <w:b/>
          <w:sz w:val="24"/>
          <w:szCs w:val="24"/>
          <w:highlight w:val="none"/>
        </w:rPr>
        <w:t>五、财产权及信息资料的返还</w:t>
      </w:r>
    </w:p>
    <w:p w14:paraId="620EF339">
      <w:pPr>
        <w:snapToGrid w:val="0"/>
        <w:spacing w:line="360" w:lineRule="auto"/>
        <w:ind w:firstLine="480" w:firstLineChars="200"/>
        <w:rPr>
          <w:rFonts w:hint="eastAsia" w:hAnsi="宋体"/>
          <w:sz w:val="24"/>
          <w:szCs w:val="24"/>
          <w:highlight w:val="none"/>
        </w:rPr>
      </w:pPr>
      <w:r>
        <w:rPr>
          <w:sz w:val="24"/>
          <w:szCs w:val="24"/>
          <w:highlight w:val="none"/>
        </w:rPr>
        <w:t>1</w:t>
      </w:r>
      <w:r>
        <w:rPr>
          <w:rFonts w:hint="eastAsia"/>
          <w:sz w:val="24"/>
          <w:szCs w:val="24"/>
          <w:highlight w:val="none"/>
        </w:rPr>
        <w:t>、披露方拥有并保留对保密信息的所有/使用权利及相关利益</w:t>
      </w:r>
      <w:r>
        <w:rPr>
          <w:rFonts w:hAnsi="宋体"/>
          <w:sz w:val="24"/>
          <w:szCs w:val="24"/>
          <w:highlight w:val="none"/>
        </w:rPr>
        <w:t>，除为</w:t>
      </w:r>
      <w:r>
        <w:rPr>
          <w:rFonts w:hint="eastAsia" w:hAnsi="宋体"/>
          <w:sz w:val="24"/>
          <w:szCs w:val="24"/>
          <w:highlight w:val="none"/>
        </w:rPr>
        <w:t>实现本项目目的而查阅、复印或</w:t>
      </w:r>
      <w:r>
        <w:rPr>
          <w:rFonts w:hAnsi="宋体"/>
          <w:sz w:val="24"/>
          <w:szCs w:val="24"/>
          <w:highlight w:val="none"/>
        </w:rPr>
        <w:t>在制作相关文件中使用信息资料的有限权利外</w:t>
      </w:r>
      <w:r>
        <w:rPr>
          <w:rFonts w:hint="eastAsia" w:hAnsi="宋体"/>
          <w:sz w:val="24"/>
          <w:szCs w:val="24"/>
          <w:highlight w:val="none"/>
        </w:rPr>
        <w:t>，</w:t>
      </w:r>
      <w:r>
        <w:rPr>
          <w:rFonts w:hAnsi="宋体"/>
          <w:sz w:val="24"/>
          <w:szCs w:val="24"/>
          <w:highlight w:val="none"/>
        </w:rPr>
        <w:t>本协议不包含任何关于专有技术、专利、商业秘密、著作权、商标等知识产权方面的明示或暗示的许可使用或转让。</w:t>
      </w:r>
    </w:p>
    <w:p w14:paraId="21A6BF5F">
      <w:pPr>
        <w:snapToGrid w:val="0"/>
        <w:spacing w:line="360" w:lineRule="auto"/>
        <w:ind w:firstLine="480" w:firstLineChars="200"/>
        <w:rPr>
          <w:sz w:val="24"/>
          <w:szCs w:val="24"/>
          <w:highlight w:val="none"/>
        </w:rPr>
      </w:pPr>
      <w:r>
        <w:rPr>
          <w:sz w:val="24"/>
          <w:szCs w:val="24"/>
          <w:highlight w:val="none"/>
        </w:rPr>
        <w:t>2</w:t>
      </w:r>
      <w:r>
        <w:rPr>
          <w:rFonts w:hint="eastAsia"/>
          <w:sz w:val="24"/>
          <w:szCs w:val="24"/>
          <w:highlight w:val="none"/>
        </w:rPr>
        <w:t>、本协议终止后或披露方要求时</w:t>
      </w:r>
      <w:r>
        <w:rPr>
          <w:sz w:val="24"/>
          <w:szCs w:val="24"/>
          <w:highlight w:val="none"/>
        </w:rPr>
        <w:t>，</w:t>
      </w:r>
      <w:r>
        <w:rPr>
          <w:rFonts w:hint="eastAsia"/>
          <w:sz w:val="24"/>
          <w:szCs w:val="24"/>
          <w:highlight w:val="none"/>
        </w:rPr>
        <w:t>接受方应依照披露方的要求将记载有保密信息的所有文件（包括保密信息的原件、各种形式的复制件或经过任何形式变化的保密信息）返还给披露方或者销毁。</w:t>
      </w:r>
    </w:p>
    <w:p w14:paraId="7105E927">
      <w:pPr>
        <w:snapToGrid w:val="0"/>
        <w:spacing w:line="360" w:lineRule="auto"/>
        <w:ind w:firstLine="482" w:firstLineChars="200"/>
        <w:outlineLvl w:val="0"/>
        <w:rPr>
          <w:rFonts w:hint="eastAsia" w:ascii="宋体" w:hAnsi="宋体"/>
          <w:b/>
          <w:sz w:val="24"/>
          <w:szCs w:val="24"/>
          <w:highlight w:val="none"/>
        </w:rPr>
      </w:pPr>
      <w:r>
        <w:rPr>
          <w:rFonts w:hint="eastAsia" w:ascii="宋体" w:hAnsi="宋体"/>
          <w:b/>
          <w:sz w:val="24"/>
          <w:szCs w:val="24"/>
          <w:highlight w:val="none"/>
        </w:rPr>
        <w:t>六、违约</w:t>
      </w:r>
      <w:r>
        <w:rPr>
          <w:rFonts w:ascii="宋体" w:hAnsi="宋体"/>
          <w:b/>
          <w:sz w:val="24"/>
          <w:szCs w:val="24"/>
          <w:highlight w:val="none"/>
        </w:rPr>
        <w:t>救济</w:t>
      </w:r>
    </w:p>
    <w:p w14:paraId="03B2DE4D">
      <w:pPr>
        <w:snapToGrid w:val="0"/>
        <w:spacing w:line="360" w:lineRule="auto"/>
        <w:ind w:firstLine="480" w:firstLineChars="200"/>
        <w:rPr>
          <w:rFonts w:hint="eastAsia" w:hAnsi="宋体"/>
          <w:sz w:val="24"/>
          <w:szCs w:val="24"/>
          <w:highlight w:val="none"/>
        </w:rPr>
      </w:pPr>
      <w:r>
        <w:rPr>
          <w:sz w:val="24"/>
          <w:szCs w:val="24"/>
          <w:highlight w:val="none"/>
        </w:rPr>
        <w:t>1</w:t>
      </w:r>
      <w:r>
        <w:rPr>
          <w:rFonts w:hint="eastAsia"/>
          <w:sz w:val="24"/>
          <w:szCs w:val="24"/>
          <w:highlight w:val="none"/>
        </w:rPr>
        <w:t>、</w:t>
      </w:r>
      <w:r>
        <w:rPr>
          <w:rFonts w:hint="eastAsia" w:hAnsi="宋体"/>
          <w:sz w:val="24"/>
          <w:szCs w:val="24"/>
          <w:highlight w:val="none"/>
        </w:rPr>
        <w:t>接受方</w:t>
      </w:r>
      <w:r>
        <w:rPr>
          <w:rFonts w:hAnsi="宋体"/>
          <w:sz w:val="24"/>
          <w:szCs w:val="24"/>
          <w:highlight w:val="none"/>
        </w:rPr>
        <w:t>理解并同意，</w:t>
      </w:r>
      <w:r>
        <w:rPr>
          <w:rFonts w:hint="eastAsia" w:hAnsi="宋体"/>
          <w:sz w:val="24"/>
          <w:szCs w:val="24"/>
          <w:highlight w:val="none"/>
        </w:rPr>
        <w:t>保密信息</w:t>
      </w:r>
      <w:r>
        <w:rPr>
          <w:rFonts w:hAnsi="宋体"/>
          <w:sz w:val="24"/>
          <w:szCs w:val="24"/>
          <w:highlight w:val="none"/>
        </w:rPr>
        <w:t>是</w:t>
      </w:r>
      <w:r>
        <w:rPr>
          <w:rFonts w:hint="eastAsia" w:hAnsi="宋体"/>
          <w:sz w:val="24"/>
          <w:szCs w:val="24"/>
          <w:highlight w:val="none"/>
        </w:rPr>
        <w:t>披露方</w:t>
      </w:r>
      <w:r>
        <w:rPr>
          <w:rFonts w:hAnsi="宋体"/>
          <w:sz w:val="24"/>
          <w:szCs w:val="24"/>
          <w:highlight w:val="none"/>
        </w:rPr>
        <w:t>的重要资产，任何违反本协议的行为都可能给</w:t>
      </w:r>
      <w:r>
        <w:rPr>
          <w:rFonts w:hint="eastAsia" w:hAnsi="宋体"/>
          <w:sz w:val="24"/>
          <w:szCs w:val="24"/>
          <w:highlight w:val="none"/>
        </w:rPr>
        <w:t>披露方</w:t>
      </w:r>
      <w:r>
        <w:rPr>
          <w:rFonts w:hAnsi="宋体"/>
          <w:sz w:val="24"/>
          <w:szCs w:val="24"/>
          <w:highlight w:val="none"/>
        </w:rPr>
        <w:t>带来金钱所不足以弥补的无法挽回的损失。若违约行为发生或可能发生时，除其他可以采取的补救措施外，</w:t>
      </w:r>
      <w:r>
        <w:rPr>
          <w:rFonts w:hint="eastAsia" w:hAnsi="宋体"/>
          <w:sz w:val="24"/>
          <w:szCs w:val="24"/>
          <w:highlight w:val="none"/>
        </w:rPr>
        <w:t>披露方</w:t>
      </w:r>
      <w:r>
        <w:rPr>
          <w:rFonts w:hAnsi="宋体"/>
          <w:sz w:val="24"/>
          <w:szCs w:val="24"/>
          <w:highlight w:val="none"/>
        </w:rPr>
        <w:t>有权无需证明实际遭受的损害而获取禁令以阻止可能发生的违约行为或终止已发生的违约行为。</w:t>
      </w:r>
    </w:p>
    <w:p w14:paraId="607B2B4F">
      <w:pPr>
        <w:snapToGrid w:val="0"/>
        <w:spacing w:line="360" w:lineRule="auto"/>
        <w:ind w:firstLine="480" w:firstLineChars="200"/>
        <w:rPr>
          <w:sz w:val="24"/>
          <w:szCs w:val="24"/>
          <w:highlight w:val="none"/>
        </w:rPr>
      </w:pPr>
      <w:r>
        <w:rPr>
          <w:sz w:val="24"/>
          <w:szCs w:val="24"/>
          <w:highlight w:val="none"/>
        </w:rPr>
        <w:t>2</w:t>
      </w:r>
      <w:r>
        <w:rPr>
          <w:rFonts w:hint="eastAsia"/>
          <w:sz w:val="24"/>
          <w:szCs w:val="24"/>
          <w:highlight w:val="none"/>
        </w:rPr>
        <w:t>、如接受方违反本协议的保密义务，披露方有权</w:t>
      </w:r>
      <w:r>
        <w:rPr>
          <w:rFonts w:hAnsi="宋体"/>
          <w:sz w:val="24"/>
          <w:szCs w:val="24"/>
          <w:highlight w:val="none"/>
        </w:rPr>
        <w:t>要求</w:t>
      </w:r>
      <w:r>
        <w:rPr>
          <w:rFonts w:hint="eastAsia" w:hAnsi="宋体"/>
          <w:sz w:val="24"/>
          <w:szCs w:val="24"/>
          <w:highlight w:val="none"/>
        </w:rPr>
        <w:t>接受方</w:t>
      </w:r>
      <w:r>
        <w:rPr>
          <w:rFonts w:hAnsi="宋体"/>
          <w:sz w:val="24"/>
          <w:szCs w:val="24"/>
          <w:highlight w:val="none"/>
        </w:rPr>
        <w:t>赔偿</w:t>
      </w:r>
      <w:r>
        <w:rPr>
          <w:rFonts w:hint="eastAsia" w:hAnsi="宋体"/>
          <w:sz w:val="24"/>
          <w:szCs w:val="24"/>
          <w:highlight w:val="none"/>
        </w:rPr>
        <w:t>披露方</w:t>
      </w:r>
      <w:r>
        <w:rPr>
          <w:rFonts w:hAnsi="宋体"/>
          <w:sz w:val="24"/>
          <w:szCs w:val="24"/>
          <w:highlight w:val="none"/>
        </w:rPr>
        <w:t>的所有损失，损失包括但不限于律师费、调查费</w:t>
      </w:r>
      <w:r>
        <w:rPr>
          <w:rFonts w:hint="eastAsia" w:hAnsi="宋体"/>
          <w:sz w:val="24"/>
          <w:szCs w:val="24"/>
          <w:highlight w:val="none"/>
        </w:rPr>
        <w:t>、守约方</w:t>
      </w:r>
      <w:r>
        <w:rPr>
          <w:rFonts w:hAnsi="宋体"/>
          <w:sz w:val="24"/>
          <w:szCs w:val="24"/>
          <w:highlight w:val="none"/>
        </w:rPr>
        <w:t>向</w:t>
      </w:r>
      <w:r>
        <w:rPr>
          <w:rFonts w:hint="eastAsia" w:hAnsi="宋体"/>
          <w:sz w:val="24"/>
          <w:szCs w:val="24"/>
          <w:highlight w:val="none"/>
        </w:rPr>
        <w:t>平台用户支付</w:t>
      </w:r>
      <w:r>
        <w:rPr>
          <w:rFonts w:hAnsi="宋体"/>
          <w:sz w:val="24"/>
          <w:szCs w:val="24"/>
          <w:highlight w:val="none"/>
        </w:rPr>
        <w:t>的</w:t>
      </w:r>
      <w:r>
        <w:rPr>
          <w:rFonts w:hint="eastAsia" w:hAnsi="宋体"/>
          <w:sz w:val="24"/>
          <w:szCs w:val="24"/>
          <w:highlight w:val="none"/>
        </w:rPr>
        <w:t>索赔额</w:t>
      </w:r>
      <w:r>
        <w:rPr>
          <w:rFonts w:hAnsi="宋体"/>
          <w:sz w:val="24"/>
          <w:szCs w:val="24"/>
          <w:highlight w:val="none"/>
        </w:rPr>
        <w:t>及其他合理费用。</w:t>
      </w:r>
    </w:p>
    <w:p w14:paraId="7D8FC841">
      <w:pPr>
        <w:snapToGrid w:val="0"/>
        <w:spacing w:line="360" w:lineRule="auto"/>
        <w:ind w:firstLine="482" w:firstLineChars="200"/>
        <w:outlineLvl w:val="0"/>
        <w:rPr>
          <w:b/>
          <w:sz w:val="24"/>
          <w:szCs w:val="24"/>
          <w:highlight w:val="none"/>
        </w:rPr>
      </w:pPr>
      <w:r>
        <w:rPr>
          <w:rFonts w:hint="eastAsia"/>
          <w:b/>
          <w:sz w:val="24"/>
          <w:szCs w:val="24"/>
          <w:highlight w:val="none"/>
        </w:rPr>
        <w:t>七</w:t>
      </w:r>
      <w:r>
        <w:rPr>
          <w:b/>
          <w:sz w:val="24"/>
          <w:szCs w:val="24"/>
          <w:highlight w:val="none"/>
        </w:rPr>
        <w:t>、</w:t>
      </w:r>
      <w:r>
        <w:rPr>
          <w:rFonts w:hint="eastAsia"/>
          <w:b/>
          <w:sz w:val="24"/>
          <w:szCs w:val="24"/>
          <w:highlight w:val="none"/>
        </w:rPr>
        <w:t>附则</w:t>
      </w:r>
    </w:p>
    <w:p w14:paraId="3CE6E19B">
      <w:pPr>
        <w:snapToGrid w:val="0"/>
        <w:spacing w:line="360" w:lineRule="auto"/>
        <w:ind w:firstLine="480" w:firstLineChars="200"/>
        <w:rPr>
          <w:sz w:val="24"/>
          <w:szCs w:val="24"/>
          <w:highlight w:val="none"/>
        </w:rPr>
      </w:pPr>
      <w:r>
        <w:rPr>
          <w:sz w:val="24"/>
          <w:szCs w:val="24"/>
          <w:highlight w:val="none"/>
        </w:rPr>
        <w:t>1</w:t>
      </w:r>
      <w:r>
        <w:rPr>
          <w:rFonts w:hint="eastAsia"/>
          <w:sz w:val="24"/>
          <w:szCs w:val="24"/>
          <w:highlight w:val="none"/>
        </w:rPr>
        <w:t>、保密</w:t>
      </w:r>
      <w:r>
        <w:rPr>
          <w:sz w:val="24"/>
          <w:szCs w:val="24"/>
          <w:highlight w:val="none"/>
        </w:rPr>
        <w:t>期限</w:t>
      </w:r>
      <w:r>
        <w:rPr>
          <w:rFonts w:hint="eastAsia"/>
          <w:sz w:val="24"/>
          <w:szCs w:val="24"/>
          <w:highlight w:val="none"/>
        </w:rPr>
        <w:t>：自接受方接收或知悉保密信息之日起</w:t>
      </w:r>
      <w:r>
        <w:rPr>
          <w:rFonts w:hint="eastAsia"/>
          <w:sz w:val="24"/>
          <w:szCs w:val="24"/>
          <w:highlight w:val="none"/>
          <w:u w:val="single"/>
        </w:rPr>
        <w:t xml:space="preserve"> </w:t>
      </w:r>
      <w:r>
        <w:rPr>
          <w:sz w:val="24"/>
          <w:szCs w:val="24"/>
          <w:highlight w:val="none"/>
          <w:u w:val="single"/>
        </w:rPr>
        <w:t xml:space="preserve">2 </w:t>
      </w:r>
      <w:r>
        <w:rPr>
          <w:rFonts w:hint="eastAsia"/>
          <w:sz w:val="24"/>
          <w:szCs w:val="24"/>
          <w:highlight w:val="none"/>
        </w:rPr>
        <w:t>年或披露方书面解除接受方保密义务之日止（以时间先到者为准）。属于国家秘密的信息不受此期限的规定，应当按照国家保密规定执行。</w:t>
      </w:r>
    </w:p>
    <w:p w14:paraId="0382D339">
      <w:pPr>
        <w:snapToGrid w:val="0"/>
        <w:spacing w:line="360" w:lineRule="auto"/>
        <w:ind w:firstLine="480" w:firstLineChars="200"/>
        <w:rPr>
          <w:sz w:val="24"/>
          <w:szCs w:val="24"/>
          <w:highlight w:val="none"/>
        </w:rPr>
      </w:pPr>
      <w:r>
        <w:rPr>
          <w:sz w:val="24"/>
          <w:szCs w:val="24"/>
          <w:highlight w:val="none"/>
        </w:rPr>
        <w:t>2</w:t>
      </w:r>
      <w:r>
        <w:rPr>
          <w:rFonts w:hint="eastAsia"/>
          <w:sz w:val="24"/>
          <w:szCs w:val="24"/>
          <w:highlight w:val="none"/>
        </w:rPr>
        <w:t>、除双方另有约定外，披露方对保密信息的准确性、完整性和是否侵权不作任何明示、暗示的保证或其他承诺，也不保证保密信息适用于任何特定目的或用途；披露方不承担任何接受方使用或不能使用保密信息所造成的损害责任。</w:t>
      </w:r>
    </w:p>
    <w:p w14:paraId="2E60426B">
      <w:pPr>
        <w:snapToGrid w:val="0"/>
        <w:spacing w:line="360" w:lineRule="auto"/>
        <w:ind w:firstLine="480" w:firstLineChars="200"/>
        <w:rPr>
          <w:sz w:val="24"/>
          <w:szCs w:val="24"/>
          <w:highlight w:val="none"/>
        </w:rPr>
      </w:pPr>
      <w:r>
        <w:rPr>
          <w:rFonts w:hint="eastAsia" w:hAnsi="宋体"/>
          <w:sz w:val="24"/>
          <w:szCs w:val="24"/>
          <w:highlight w:val="none"/>
        </w:rPr>
        <w:t>3、</w:t>
      </w:r>
      <w:r>
        <w:rPr>
          <w:rFonts w:hAnsi="宋体"/>
          <w:sz w:val="24"/>
          <w:szCs w:val="24"/>
          <w:highlight w:val="none"/>
        </w:rPr>
        <w:t>本协议独立于甲乙双方签署的其他任何法律文件。非经甲乙双方书面同意，本协议不因签署的其他任何法律文件的无效、终止或撤销而失效。如本协议的任何条款，其整体或部分无效或不可执行，本协议的其他条款的效力不受影响。在相关条款无效或不可执行的情况下，甲乙双方应在法律允许的范围内，根据本协议的宗旨和目的重新拟定条款来取代该条款。</w:t>
      </w:r>
    </w:p>
    <w:p w14:paraId="358E922E">
      <w:pPr>
        <w:snapToGrid w:val="0"/>
        <w:spacing w:line="360" w:lineRule="auto"/>
        <w:ind w:firstLine="480" w:firstLineChars="200"/>
        <w:rPr>
          <w:sz w:val="24"/>
          <w:szCs w:val="24"/>
          <w:highlight w:val="none"/>
        </w:rPr>
      </w:pPr>
      <w:r>
        <w:rPr>
          <w:sz w:val="24"/>
          <w:szCs w:val="24"/>
          <w:highlight w:val="none"/>
        </w:rPr>
        <w:t>4</w:t>
      </w:r>
      <w:r>
        <w:rPr>
          <w:rFonts w:hint="eastAsia"/>
          <w:sz w:val="24"/>
          <w:szCs w:val="24"/>
          <w:highlight w:val="none"/>
        </w:rPr>
        <w:t>、</w:t>
      </w:r>
      <w:r>
        <w:rPr>
          <w:rFonts w:hAnsi="宋体"/>
          <w:sz w:val="24"/>
          <w:szCs w:val="24"/>
          <w:highlight w:val="none"/>
        </w:rPr>
        <w:t>本协议的订立、效力、解释、履行以及争议的解决均适用中华人民共和国现行、有效的法律、法规。凡因本协议引起的或履行本协议所发生的争议，双方应首先友好协商；协商不成的，任一方可将争议提交</w:t>
      </w:r>
      <w:r>
        <w:rPr>
          <w:rFonts w:hint="eastAsia" w:hAnsi="宋体"/>
          <w:sz w:val="24"/>
          <w:szCs w:val="24"/>
          <w:highlight w:val="none"/>
        </w:rPr>
        <w:t>被告</w:t>
      </w:r>
      <w:r>
        <w:rPr>
          <w:rFonts w:hAnsi="宋体"/>
          <w:sz w:val="24"/>
          <w:szCs w:val="24"/>
          <w:highlight w:val="none"/>
        </w:rPr>
        <w:t>所在地有管辖权的法院诉讼解决。</w:t>
      </w:r>
    </w:p>
    <w:p w14:paraId="59D16702">
      <w:pPr>
        <w:snapToGrid w:val="0"/>
        <w:spacing w:line="360" w:lineRule="auto"/>
        <w:ind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sz w:val="24"/>
          <w:szCs w:val="24"/>
          <w:highlight w:val="none"/>
        </w:rPr>
        <w:t>5</w:t>
      </w:r>
      <w:r>
        <w:rPr>
          <w:rFonts w:hint="eastAsia"/>
          <w:sz w:val="24"/>
          <w:szCs w:val="24"/>
          <w:highlight w:val="none"/>
        </w:rPr>
        <w:t>、</w:t>
      </w:r>
      <w:r>
        <w:rPr>
          <w:sz w:val="24"/>
          <w:szCs w:val="24"/>
          <w:highlight w:val="none"/>
        </w:rPr>
        <w:t>本协议自双方签章之日起生效。</w:t>
      </w:r>
      <w:r>
        <w:rPr>
          <w:rFonts w:hint="eastAsia"/>
          <w:sz w:val="24"/>
          <w:szCs w:val="24"/>
          <w:highlight w:val="none"/>
        </w:rPr>
        <w:t>协议</w:t>
      </w:r>
      <w:r>
        <w:rPr>
          <w:rFonts w:hint="eastAsia" w:asciiTheme="minorEastAsia" w:hAnsiTheme="minorEastAsia" w:eastAsiaTheme="minorEastAsia"/>
          <w:color w:val="000000" w:themeColor="text1"/>
          <w:sz w:val="24"/>
          <w:szCs w:val="24"/>
          <w:highlight w:val="none"/>
          <w14:textFill>
            <w14:solidFill>
              <w14:schemeClr w14:val="tx1"/>
            </w14:solidFill>
          </w14:textFill>
        </w:rPr>
        <w:t>一式</w:t>
      </w:r>
      <w:r>
        <w:rPr>
          <w:rFonts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szCs w:val="24"/>
          <w:highlight w:val="none"/>
          <w:u w:val="single"/>
          <w14:textFill>
            <w14:solidFill>
              <w14:schemeClr w14:val="tx1"/>
            </w14:solidFill>
          </w14:textFill>
        </w:rPr>
        <w:t>肆</w:t>
      </w:r>
      <w:r>
        <w:rPr>
          <w:rFonts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14:textFill>
            <w14:solidFill>
              <w14:schemeClr w14:val="tx1"/>
            </w14:solidFill>
          </w14:textFill>
        </w:rPr>
        <w:t>份，双方各执</w:t>
      </w:r>
      <w:r>
        <w:rPr>
          <w:rFonts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szCs w:val="24"/>
          <w:highlight w:val="none"/>
          <w:u w:val="single"/>
          <w14:textFill>
            <w14:solidFill>
              <w14:schemeClr w14:val="tx1"/>
            </w14:solidFill>
          </w14:textFill>
        </w:rPr>
        <w:t>贰</w:t>
      </w:r>
      <w:r>
        <w:rPr>
          <w:rFonts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14:textFill>
            <w14:solidFill>
              <w14:schemeClr w14:val="tx1"/>
            </w14:solidFill>
          </w14:textFill>
        </w:rPr>
        <w:t>份，具有同等法律效力。</w:t>
      </w:r>
    </w:p>
    <w:p w14:paraId="011B5C1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（以下无正文）</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8"/>
        <w:gridCol w:w="4258"/>
      </w:tblGrid>
      <w:tr w14:paraId="2070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tcBorders>
              <w:tl2br w:val="nil"/>
              <w:tr2bl w:val="nil"/>
            </w:tcBorders>
          </w:tcPr>
          <w:p w14:paraId="63B7F639">
            <w:pPr>
              <w:adjustRightInd w:val="0"/>
              <w:snapToGrid w:val="0"/>
              <w:spacing w:line="360" w:lineRule="auto"/>
              <w:jc w:val="left"/>
              <w:rPr>
                <w:rFonts w:hint="eastAsia" w:asciiTheme="minorEastAsia" w:hAnsiTheme="minorEastAsia" w:eastAsiaTheme="minorEastAsia"/>
                <w:bCs/>
                <w:sz w:val="24"/>
                <w:szCs w:val="24"/>
                <w:highlight w:val="none"/>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甲方（盖章）：</w:t>
            </w:r>
            <w:r>
              <w:rPr>
                <w:rFonts w:hint="eastAsia" w:asciiTheme="minorEastAsia" w:hAnsiTheme="minorEastAsia" w:eastAsiaTheme="minorEastAsia"/>
                <w:bCs/>
                <w:sz w:val="24"/>
                <w:szCs w:val="24"/>
                <w:highlight w:val="none"/>
              </w:rPr>
              <w:t xml:space="preserve"> </w:t>
            </w:r>
          </w:p>
          <w:p w14:paraId="615FFDE9">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负责人或授权代表：</w:t>
            </w:r>
          </w:p>
          <w:p w14:paraId="603853EE">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地址：</w:t>
            </w:r>
          </w:p>
          <w:p w14:paraId="373345D6">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p>
          <w:p w14:paraId="02645FAA">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电话：</w:t>
            </w:r>
          </w:p>
          <w:p w14:paraId="7C03EDAD">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签订日期：</w:t>
            </w:r>
          </w:p>
        </w:tc>
        <w:tc>
          <w:tcPr>
            <w:tcW w:w="4258" w:type="dxa"/>
            <w:tcBorders>
              <w:tl2br w:val="nil"/>
              <w:tr2bl w:val="nil"/>
            </w:tcBorders>
          </w:tcPr>
          <w:p w14:paraId="2DEFCA13">
            <w:pPr>
              <w:adjustRightInd w:val="0"/>
              <w:snapToGrid w:val="0"/>
              <w:spacing w:line="360" w:lineRule="auto"/>
              <w:jc w:val="left"/>
              <w:rPr>
                <w:rFonts w:hint="eastAsia" w:asciiTheme="minorEastAsia" w:hAnsiTheme="minorEastAsia" w:eastAsiaTheme="minorEastAsia"/>
                <w:bCs/>
                <w:sz w:val="24"/>
                <w:szCs w:val="24"/>
                <w:highlight w:val="none"/>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甲方（盖章）：政采云有限公司</w:t>
            </w:r>
          </w:p>
          <w:p w14:paraId="73F9AA2E">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负责人或授权代表：</w:t>
            </w:r>
          </w:p>
          <w:p w14:paraId="1885FBBF">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地址：</w:t>
            </w:r>
            <w:r>
              <w:rPr>
                <w:rFonts w:hint="eastAsia" w:asciiTheme="minorEastAsia" w:hAnsiTheme="minorEastAsia" w:eastAsiaTheme="minorEastAsia"/>
                <w:color w:val="000000" w:themeColor="text1"/>
                <w:szCs w:val="21"/>
                <w:highlight w:val="none"/>
                <w14:textFill>
                  <w14:solidFill>
                    <w14:schemeClr w14:val="tx1"/>
                  </w14:solidFill>
                </w14:textFill>
              </w:rPr>
              <w:t>杭州市西湖区云栖小镇鲤鱼山街</w:t>
            </w:r>
            <w:r>
              <w:rPr>
                <w:rFonts w:asciiTheme="minorEastAsia" w:hAnsiTheme="minorEastAsia" w:eastAsiaTheme="minorEastAsia"/>
                <w:color w:val="000000" w:themeColor="text1"/>
                <w:szCs w:val="21"/>
                <w:highlight w:val="none"/>
                <w14:textFill>
                  <w14:solidFill>
                    <w14:schemeClr w14:val="tx1"/>
                  </w14:solidFill>
                </w14:textFill>
              </w:rPr>
              <w:t>18号</w:t>
            </w:r>
          </w:p>
          <w:p w14:paraId="4199B598">
            <w:pPr>
              <w:adjustRightInd w:val="0"/>
              <w:snapToGrid w:val="0"/>
              <w:spacing w:line="360" w:lineRule="auto"/>
              <w:jc w:val="left"/>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电话：</w:t>
            </w:r>
          </w:p>
          <w:p w14:paraId="5A77C2D7">
            <w:pPr>
              <w:adjustRightInd w:val="0"/>
              <w:snapToGrid w:val="0"/>
              <w:spacing w:line="360" w:lineRule="auto"/>
              <w:jc w:val="left"/>
              <w:rPr>
                <w:rFonts w:hint="eastAsia" w:asciiTheme="minorEastAsia" w:hAnsiTheme="minorEastAsia" w:eastAsiaTheme="minorEastAsia"/>
                <w:color w:val="000000" w:themeColor="text1"/>
                <w:sz w:val="24"/>
                <w:szCs w:val="24"/>
                <w:highlight w:val="none"/>
                <w:lang w:bidi="en-US"/>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签订日期：</w:t>
            </w:r>
          </w:p>
        </w:tc>
      </w:tr>
    </w:tbl>
    <w:p w14:paraId="6DA679B3">
      <w:pPr>
        <w:snapToGrid w:val="0"/>
        <w:spacing w:line="360" w:lineRule="auto"/>
        <w:ind w:firstLine="480" w:firstLineChars="200"/>
        <w:rPr>
          <w:rFonts w:hint="eastAsia" w:ascii="宋体" w:hAnsi="宋体"/>
          <w:sz w:val="24"/>
          <w:szCs w:val="24"/>
          <w:highlight w:val="none"/>
        </w:rPr>
      </w:pPr>
    </w:p>
    <w:sectPr>
      <w:footerReference r:id="rId3" w:type="default"/>
      <w:pgSz w:w="11906" w:h="16838"/>
      <w:pgMar w:top="1440" w:right="1803" w:bottom="1440" w:left="180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5DA2">
    <w:pPr>
      <w:pStyle w:val="6"/>
      <w:jc w:val="center"/>
      <w:rPr>
        <w:color w:val="4F81BD" w:themeColor="accent1"/>
        <w14:textFill>
          <w14:solidFill>
            <w14:schemeClr w14:val="accent1"/>
          </w14:solidFill>
        </w14:textFill>
      </w:rPr>
    </w:pPr>
    <w:r>
      <w:rPr>
        <w:color w:val="4F81BD" w:themeColor="accent1"/>
        <w:lang w:val="zh-CN"/>
        <w14:textFill>
          <w14:solidFill>
            <w14:schemeClr w14:val="accent1"/>
          </w14:solidFill>
        </w14:textFill>
      </w:rPr>
      <w:t xml:space="preserve"> </w:t>
    </w:r>
    <w:r>
      <w:rPr>
        <w:color w:val="4F81BD" w:themeColor="accent1"/>
        <w14:textFill>
          <w14:solidFill>
            <w14:schemeClr w14:val="accent1"/>
          </w14:solidFill>
        </w14:textFill>
      </w:rPr>
      <w:fldChar w:fldCharType="begin"/>
    </w:r>
    <w:r>
      <w:rPr>
        <w:color w:val="4F81BD" w:themeColor="accent1"/>
        <w14:textFill>
          <w14:solidFill>
            <w14:schemeClr w14:val="accent1"/>
          </w14:solidFill>
        </w14:textFill>
      </w:rPr>
      <w:instrText xml:space="preserve">PAGE  \* Arabic  \* MERGEFORMAT</w:instrText>
    </w:r>
    <w:r>
      <w:rPr>
        <w:color w:val="4F81BD" w:themeColor="accent1"/>
        <w14:textFill>
          <w14:solidFill>
            <w14:schemeClr w14:val="accent1"/>
          </w14:solidFill>
        </w14:textFill>
      </w:rPr>
      <w:fldChar w:fldCharType="separate"/>
    </w:r>
    <w:r>
      <w:rPr>
        <w:color w:val="4F81BD" w:themeColor="accent1"/>
        <w:lang w:val="zh-CN"/>
        <w14:textFill>
          <w14:solidFill>
            <w14:schemeClr w14:val="accent1"/>
          </w14:solidFill>
        </w14:textFill>
      </w:rPr>
      <w:t>5</w:t>
    </w:r>
    <w:r>
      <w:rPr>
        <w:color w:val="4F81BD" w:themeColor="accent1"/>
        <w14:textFill>
          <w14:solidFill>
            <w14:schemeClr w14:val="accent1"/>
          </w14:solidFill>
        </w14:textFill>
      </w:rPr>
      <w:fldChar w:fldCharType="end"/>
    </w:r>
    <w:r>
      <w:rPr>
        <w:color w:val="4F81BD" w:themeColor="accent1"/>
        <w:lang w:val="zh-CN"/>
        <w14:textFill>
          <w14:solidFill>
            <w14:schemeClr w14:val="accent1"/>
          </w14:solidFill>
        </w14:textFill>
      </w:rPr>
      <w:t xml:space="preserve"> / </w:t>
    </w:r>
    <w:r>
      <w:rPr>
        <w:color w:val="4F81BD" w:themeColor="accent1"/>
        <w14:textFill>
          <w14:solidFill>
            <w14:schemeClr w14:val="accent1"/>
          </w14:solidFill>
        </w14:textFill>
      </w:rPr>
      <w:fldChar w:fldCharType="begin"/>
    </w:r>
    <w:r>
      <w:rPr>
        <w:color w:val="4F81BD" w:themeColor="accent1"/>
        <w14:textFill>
          <w14:solidFill>
            <w14:schemeClr w14:val="accent1"/>
          </w14:solidFill>
        </w14:textFill>
      </w:rPr>
      <w:instrText xml:space="preserve">NUMPAGES  \* Arabic  \* MERGEFORMAT</w:instrText>
    </w:r>
    <w:r>
      <w:rPr>
        <w:color w:val="4F81BD" w:themeColor="accent1"/>
        <w14:textFill>
          <w14:solidFill>
            <w14:schemeClr w14:val="accent1"/>
          </w14:solidFill>
        </w14:textFill>
      </w:rPr>
      <w:fldChar w:fldCharType="separate"/>
    </w:r>
    <w:r>
      <w:rPr>
        <w:color w:val="4F81BD" w:themeColor="accent1"/>
        <w:lang w:val="zh-CN"/>
        <w14:textFill>
          <w14:solidFill>
            <w14:schemeClr w14:val="accent1"/>
          </w14:solidFill>
        </w14:textFill>
      </w:rPr>
      <w:t>11</w:t>
    </w:r>
    <w:r>
      <w:rPr>
        <w:color w:val="4F81BD" w:themeColor="accent1"/>
        <w14:textFill>
          <w14:solidFill>
            <w14:schemeClr w14:val="accent1"/>
          </w14:solidFill>
        </w14:textFill>
      </w:rPr>
      <w:fldChar w:fldCharType="end"/>
    </w:r>
  </w:p>
  <w:p w14:paraId="5C172ED5">
    <w:pPr>
      <w:pStyle w:val="6"/>
      <w:tabs>
        <w:tab w:val="left" w:pos="5100"/>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8F2B98"/>
    <w:multiLevelType w:val="multilevel"/>
    <w:tmpl w:val="798F2B9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5YzI2NDM3MzRkNGUxMjA3OGQ0YzMyMjVlMjIzZjQifQ=="/>
  </w:docVars>
  <w:rsids>
    <w:rsidRoot w:val="00CA3F4F"/>
    <w:rsid w:val="0000007E"/>
    <w:rsid w:val="00000AE1"/>
    <w:rsid w:val="00001413"/>
    <w:rsid w:val="0000153F"/>
    <w:rsid w:val="00003345"/>
    <w:rsid w:val="000041E5"/>
    <w:rsid w:val="00004F8F"/>
    <w:rsid w:val="000055C6"/>
    <w:rsid w:val="00010B9C"/>
    <w:rsid w:val="00012A3C"/>
    <w:rsid w:val="00012E80"/>
    <w:rsid w:val="0001385E"/>
    <w:rsid w:val="00015460"/>
    <w:rsid w:val="00026712"/>
    <w:rsid w:val="00027D36"/>
    <w:rsid w:val="0003098D"/>
    <w:rsid w:val="00033F81"/>
    <w:rsid w:val="000361B6"/>
    <w:rsid w:val="000363FE"/>
    <w:rsid w:val="00040D7E"/>
    <w:rsid w:val="0004118B"/>
    <w:rsid w:val="00041A86"/>
    <w:rsid w:val="00042011"/>
    <w:rsid w:val="000424D2"/>
    <w:rsid w:val="0004566E"/>
    <w:rsid w:val="00047D55"/>
    <w:rsid w:val="000510D3"/>
    <w:rsid w:val="00061E27"/>
    <w:rsid w:val="00062748"/>
    <w:rsid w:val="00064BF1"/>
    <w:rsid w:val="00065FA1"/>
    <w:rsid w:val="00067097"/>
    <w:rsid w:val="00067A78"/>
    <w:rsid w:val="0007061D"/>
    <w:rsid w:val="00070634"/>
    <w:rsid w:val="00077445"/>
    <w:rsid w:val="000807E3"/>
    <w:rsid w:val="00080938"/>
    <w:rsid w:val="00083D42"/>
    <w:rsid w:val="00084679"/>
    <w:rsid w:val="00085E9F"/>
    <w:rsid w:val="000866EC"/>
    <w:rsid w:val="00091836"/>
    <w:rsid w:val="00092DDB"/>
    <w:rsid w:val="00092EE7"/>
    <w:rsid w:val="0009367E"/>
    <w:rsid w:val="00093E42"/>
    <w:rsid w:val="00093FCB"/>
    <w:rsid w:val="00095D55"/>
    <w:rsid w:val="0009768F"/>
    <w:rsid w:val="000A0826"/>
    <w:rsid w:val="000A16F5"/>
    <w:rsid w:val="000A350C"/>
    <w:rsid w:val="000A4849"/>
    <w:rsid w:val="000A49C2"/>
    <w:rsid w:val="000A4C2C"/>
    <w:rsid w:val="000A6B15"/>
    <w:rsid w:val="000A6CA3"/>
    <w:rsid w:val="000B0FED"/>
    <w:rsid w:val="000B15E9"/>
    <w:rsid w:val="000B5433"/>
    <w:rsid w:val="000C1776"/>
    <w:rsid w:val="000C264E"/>
    <w:rsid w:val="000C32A0"/>
    <w:rsid w:val="000C40C5"/>
    <w:rsid w:val="000C723C"/>
    <w:rsid w:val="000D026F"/>
    <w:rsid w:val="000D29AB"/>
    <w:rsid w:val="000D2C9E"/>
    <w:rsid w:val="000D4CE9"/>
    <w:rsid w:val="000D7370"/>
    <w:rsid w:val="000E2F8B"/>
    <w:rsid w:val="000E4442"/>
    <w:rsid w:val="000F11CB"/>
    <w:rsid w:val="000F5945"/>
    <w:rsid w:val="000F63D8"/>
    <w:rsid w:val="000F6CF6"/>
    <w:rsid w:val="00100050"/>
    <w:rsid w:val="00104779"/>
    <w:rsid w:val="00107D5B"/>
    <w:rsid w:val="00116C20"/>
    <w:rsid w:val="00117D07"/>
    <w:rsid w:val="00120076"/>
    <w:rsid w:val="001237CD"/>
    <w:rsid w:val="00123A9C"/>
    <w:rsid w:val="00124337"/>
    <w:rsid w:val="00126AFE"/>
    <w:rsid w:val="00130FE0"/>
    <w:rsid w:val="001345CF"/>
    <w:rsid w:val="00136636"/>
    <w:rsid w:val="00137252"/>
    <w:rsid w:val="00142B56"/>
    <w:rsid w:val="001447FC"/>
    <w:rsid w:val="00144B27"/>
    <w:rsid w:val="00145CF3"/>
    <w:rsid w:val="00146804"/>
    <w:rsid w:val="00146F10"/>
    <w:rsid w:val="00153936"/>
    <w:rsid w:val="00155D88"/>
    <w:rsid w:val="00156490"/>
    <w:rsid w:val="001564C4"/>
    <w:rsid w:val="0015707E"/>
    <w:rsid w:val="00157D42"/>
    <w:rsid w:val="00161710"/>
    <w:rsid w:val="001654A5"/>
    <w:rsid w:val="00167F6F"/>
    <w:rsid w:val="00167F8C"/>
    <w:rsid w:val="00171818"/>
    <w:rsid w:val="00172D02"/>
    <w:rsid w:val="00172E3E"/>
    <w:rsid w:val="001736E0"/>
    <w:rsid w:val="00175F53"/>
    <w:rsid w:val="00177824"/>
    <w:rsid w:val="00182DE2"/>
    <w:rsid w:val="00183591"/>
    <w:rsid w:val="00183932"/>
    <w:rsid w:val="0019085D"/>
    <w:rsid w:val="0019323D"/>
    <w:rsid w:val="001936E4"/>
    <w:rsid w:val="00193887"/>
    <w:rsid w:val="00194F82"/>
    <w:rsid w:val="001A3BDE"/>
    <w:rsid w:val="001A4030"/>
    <w:rsid w:val="001A4E70"/>
    <w:rsid w:val="001A5FD7"/>
    <w:rsid w:val="001B34BD"/>
    <w:rsid w:val="001B395E"/>
    <w:rsid w:val="001B7580"/>
    <w:rsid w:val="001C2EDC"/>
    <w:rsid w:val="001D090F"/>
    <w:rsid w:val="001D0A64"/>
    <w:rsid w:val="001D15D0"/>
    <w:rsid w:val="001D311C"/>
    <w:rsid w:val="001D5347"/>
    <w:rsid w:val="001E0B8A"/>
    <w:rsid w:val="001E1443"/>
    <w:rsid w:val="001E57FB"/>
    <w:rsid w:val="001E7265"/>
    <w:rsid w:val="001F03BD"/>
    <w:rsid w:val="001F542B"/>
    <w:rsid w:val="001F5B1C"/>
    <w:rsid w:val="001F7FF8"/>
    <w:rsid w:val="002028DB"/>
    <w:rsid w:val="00202E67"/>
    <w:rsid w:val="002030D6"/>
    <w:rsid w:val="00204A1E"/>
    <w:rsid w:val="00210A06"/>
    <w:rsid w:val="00211693"/>
    <w:rsid w:val="00212ECC"/>
    <w:rsid w:val="00216BE7"/>
    <w:rsid w:val="002172C3"/>
    <w:rsid w:val="002211EE"/>
    <w:rsid w:val="0022219D"/>
    <w:rsid w:val="00223F01"/>
    <w:rsid w:val="002240DC"/>
    <w:rsid w:val="00225D4C"/>
    <w:rsid w:val="00227A10"/>
    <w:rsid w:val="0023145E"/>
    <w:rsid w:val="00231984"/>
    <w:rsid w:val="002319D3"/>
    <w:rsid w:val="002374A6"/>
    <w:rsid w:val="002406AE"/>
    <w:rsid w:val="00242246"/>
    <w:rsid w:val="0024248F"/>
    <w:rsid w:val="00245F87"/>
    <w:rsid w:val="0024696B"/>
    <w:rsid w:val="002472E1"/>
    <w:rsid w:val="00247DFF"/>
    <w:rsid w:val="00252DB2"/>
    <w:rsid w:val="00253DBB"/>
    <w:rsid w:val="002550CE"/>
    <w:rsid w:val="00255656"/>
    <w:rsid w:val="00256C38"/>
    <w:rsid w:val="00257130"/>
    <w:rsid w:val="002574FB"/>
    <w:rsid w:val="0026217D"/>
    <w:rsid w:val="002636D2"/>
    <w:rsid w:val="002640DF"/>
    <w:rsid w:val="0026619B"/>
    <w:rsid w:val="0026641E"/>
    <w:rsid w:val="0027396A"/>
    <w:rsid w:val="002752EE"/>
    <w:rsid w:val="00275804"/>
    <w:rsid w:val="0027615D"/>
    <w:rsid w:val="00276E08"/>
    <w:rsid w:val="002772EE"/>
    <w:rsid w:val="00277C50"/>
    <w:rsid w:val="0028040E"/>
    <w:rsid w:val="0028092B"/>
    <w:rsid w:val="0028160D"/>
    <w:rsid w:val="00283185"/>
    <w:rsid w:val="002837D7"/>
    <w:rsid w:val="00284408"/>
    <w:rsid w:val="002849DB"/>
    <w:rsid w:val="00285DD2"/>
    <w:rsid w:val="00286F91"/>
    <w:rsid w:val="002903E1"/>
    <w:rsid w:val="00291DF8"/>
    <w:rsid w:val="00296625"/>
    <w:rsid w:val="002969CB"/>
    <w:rsid w:val="002A1241"/>
    <w:rsid w:val="002A48A0"/>
    <w:rsid w:val="002A569C"/>
    <w:rsid w:val="002A72B9"/>
    <w:rsid w:val="002B02EC"/>
    <w:rsid w:val="002B0754"/>
    <w:rsid w:val="002B34BB"/>
    <w:rsid w:val="002B362F"/>
    <w:rsid w:val="002B4B9D"/>
    <w:rsid w:val="002B524B"/>
    <w:rsid w:val="002B68E7"/>
    <w:rsid w:val="002B73F9"/>
    <w:rsid w:val="002C146B"/>
    <w:rsid w:val="002C2FEA"/>
    <w:rsid w:val="002C3563"/>
    <w:rsid w:val="002C40FE"/>
    <w:rsid w:val="002C5BEF"/>
    <w:rsid w:val="002C6BAE"/>
    <w:rsid w:val="002C7CBF"/>
    <w:rsid w:val="002D1756"/>
    <w:rsid w:val="002D273C"/>
    <w:rsid w:val="002D3A3B"/>
    <w:rsid w:val="002D6E50"/>
    <w:rsid w:val="002E2F2E"/>
    <w:rsid w:val="002E6AB5"/>
    <w:rsid w:val="002F3CD4"/>
    <w:rsid w:val="002F3E8D"/>
    <w:rsid w:val="00300015"/>
    <w:rsid w:val="003000D6"/>
    <w:rsid w:val="00301377"/>
    <w:rsid w:val="00302216"/>
    <w:rsid w:val="00307BEB"/>
    <w:rsid w:val="00310530"/>
    <w:rsid w:val="00316F7D"/>
    <w:rsid w:val="003232E5"/>
    <w:rsid w:val="003278CD"/>
    <w:rsid w:val="00327B69"/>
    <w:rsid w:val="003326F8"/>
    <w:rsid w:val="00340C31"/>
    <w:rsid w:val="003464F6"/>
    <w:rsid w:val="0034714D"/>
    <w:rsid w:val="0035193F"/>
    <w:rsid w:val="00352068"/>
    <w:rsid w:val="00352739"/>
    <w:rsid w:val="00352975"/>
    <w:rsid w:val="00353834"/>
    <w:rsid w:val="00354637"/>
    <w:rsid w:val="00354977"/>
    <w:rsid w:val="00356D12"/>
    <w:rsid w:val="00361C83"/>
    <w:rsid w:val="003625C4"/>
    <w:rsid w:val="00362902"/>
    <w:rsid w:val="00363001"/>
    <w:rsid w:val="0036496E"/>
    <w:rsid w:val="00367880"/>
    <w:rsid w:val="00372379"/>
    <w:rsid w:val="0037419E"/>
    <w:rsid w:val="00375106"/>
    <w:rsid w:val="00383D8F"/>
    <w:rsid w:val="00387765"/>
    <w:rsid w:val="00387887"/>
    <w:rsid w:val="0039444D"/>
    <w:rsid w:val="003948C3"/>
    <w:rsid w:val="00396CC5"/>
    <w:rsid w:val="003A0427"/>
    <w:rsid w:val="003A0DB9"/>
    <w:rsid w:val="003A2B71"/>
    <w:rsid w:val="003A5355"/>
    <w:rsid w:val="003A588F"/>
    <w:rsid w:val="003A7331"/>
    <w:rsid w:val="003A7751"/>
    <w:rsid w:val="003B3531"/>
    <w:rsid w:val="003B5494"/>
    <w:rsid w:val="003B5DE0"/>
    <w:rsid w:val="003C2A53"/>
    <w:rsid w:val="003C3211"/>
    <w:rsid w:val="003C3559"/>
    <w:rsid w:val="003C3F26"/>
    <w:rsid w:val="003C7F2C"/>
    <w:rsid w:val="003D1D34"/>
    <w:rsid w:val="003D21C6"/>
    <w:rsid w:val="003D2307"/>
    <w:rsid w:val="003E21AD"/>
    <w:rsid w:val="003E332A"/>
    <w:rsid w:val="003E3694"/>
    <w:rsid w:val="003E3931"/>
    <w:rsid w:val="003E4F05"/>
    <w:rsid w:val="003E7CA2"/>
    <w:rsid w:val="003F129D"/>
    <w:rsid w:val="003F1D87"/>
    <w:rsid w:val="003F580D"/>
    <w:rsid w:val="003F5911"/>
    <w:rsid w:val="0040208C"/>
    <w:rsid w:val="00403553"/>
    <w:rsid w:val="00405484"/>
    <w:rsid w:val="00410ADE"/>
    <w:rsid w:val="00411105"/>
    <w:rsid w:val="00415EA7"/>
    <w:rsid w:val="00420D75"/>
    <w:rsid w:val="00421529"/>
    <w:rsid w:val="00422367"/>
    <w:rsid w:val="00427D3A"/>
    <w:rsid w:val="00431922"/>
    <w:rsid w:val="004331D7"/>
    <w:rsid w:val="004403F2"/>
    <w:rsid w:val="00443E56"/>
    <w:rsid w:val="00445923"/>
    <w:rsid w:val="004500E9"/>
    <w:rsid w:val="0045193C"/>
    <w:rsid w:val="00452C3A"/>
    <w:rsid w:val="0045301D"/>
    <w:rsid w:val="004530E9"/>
    <w:rsid w:val="00455472"/>
    <w:rsid w:val="00457502"/>
    <w:rsid w:val="00457B67"/>
    <w:rsid w:val="004610AB"/>
    <w:rsid w:val="0046143F"/>
    <w:rsid w:val="004622EC"/>
    <w:rsid w:val="00463D71"/>
    <w:rsid w:val="004648BA"/>
    <w:rsid w:val="004654A9"/>
    <w:rsid w:val="0046681B"/>
    <w:rsid w:val="00474BFA"/>
    <w:rsid w:val="00477955"/>
    <w:rsid w:val="00480483"/>
    <w:rsid w:val="00484029"/>
    <w:rsid w:val="00485E7F"/>
    <w:rsid w:val="00486012"/>
    <w:rsid w:val="004863CE"/>
    <w:rsid w:val="004A26E8"/>
    <w:rsid w:val="004A2B7E"/>
    <w:rsid w:val="004A2DC3"/>
    <w:rsid w:val="004A6201"/>
    <w:rsid w:val="004A73AC"/>
    <w:rsid w:val="004B06E4"/>
    <w:rsid w:val="004B44AE"/>
    <w:rsid w:val="004B4B5E"/>
    <w:rsid w:val="004B6896"/>
    <w:rsid w:val="004C7BD3"/>
    <w:rsid w:val="004D1C7C"/>
    <w:rsid w:val="004D1E65"/>
    <w:rsid w:val="004D38BC"/>
    <w:rsid w:val="004D6337"/>
    <w:rsid w:val="004E1A21"/>
    <w:rsid w:val="004E2A45"/>
    <w:rsid w:val="004E374A"/>
    <w:rsid w:val="004E42D5"/>
    <w:rsid w:val="004E4D56"/>
    <w:rsid w:val="004E4DBA"/>
    <w:rsid w:val="004E5EF6"/>
    <w:rsid w:val="004E733F"/>
    <w:rsid w:val="004F0D22"/>
    <w:rsid w:val="004F235C"/>
    <w:rsid w:val="004F4198"/>
    <w:rsid w:val="004F521B"/>
    <w:rsid w:val="004F5C02"/>
    <w:rsid w:val="005002D9"/>
    <w:rsid w:val="005027C6"/>
    <w:rsid w:val="00504119"/>
    <w:rsid w:val="00507374"/>
    <w:rsid w:val="00515DF3"/>
    <w:rsid w:val="00520191"/>
    <w:rsid w:val="00521942"/>
    <w:rsid w:val="00522AFE"/>
    <w:rsid w:val="00523430"/>
    <w:rsid w:val="00524E76"/>
    <w:rsid w:val="00524F99"/>
    <w:rsid w:val="00525195"/>
    <w:rsid w:val="00525856"/>
    <w:rsid w:val="00530CE3"/>
    <w:rsid w:val="00530EB3"/>
    <w:rsid w:val="005339C1"/>
    <w:rsid w:val="00534E8B"/>
    <w:rsid w:val="00541DB5"/>
    <w:rsid w:val="00543D66"/>
    <w:rsid w:val="00547DE7"/>
    <w:rsid w:val="00547ED7"/>
    <w:rsid w:val="00550984"/>
    <w:rsid w:val="005513C2"/>
    <w:rsid w:val="00552CD1"/>
    <w:rsid w:val="00557468"/>
    <w:rsid w:val="005620B6"/>
    <w:rsid w:val="00562FA3"/>
    <w:rsid w:val="00563DCC"/>
    <w:rsid w:val="0056685A"/>
    <w:rsid w:val="00570019"/>
    <w:rsid w:val="00571B72"/>
    <w:rsid w:val="005724F7"/>
    <w:rsid w:val="00573359"/>
    <w:rsid w:val="005742B5"/>
    <w:rsid w:val="00580042"/>
    <w:rsid w:val="005810D5"/>
    <w:rsid w:val="0058213D"/>
    <w:rsid w:val="00583EF4"/>
    <w:rsid w:val="00584901"/>
    <w:rsid w:val="00586D04"/>
    <w:rsid w:val="00591B46"/>
    <w:rsid w:val="005923DA"/>
    <w:rsid w:val="005923F7"/>
    <w:rsid w:val="005926BA"/>
    <w:rsid w:val="00597C66"/>
    <w:rsid w:val="005A1099"/>
    <w:rsid w:val="005A27F5"/>
    <w:rsid w:val="005A38AA"/>
    <w:rsid w:val="005A3BEC"/>
    <w:rsid w:val="005A7CCC"/>
    <w:rsid w:val="005B10CF"/>
    <w:rsid w:val="005B1F23"/>
    <w:rsid w:val="005B2EC8"/>
    <w:rsid w:val="005B367C"/>
    <w:rsid w:val="005B4FE3"/>
    <w:rsid w:val="005B6DA3"/>
    <w:rsid w:val="005C21A6"/>
    <w:rsid w:val="005C3581"/>
    <w:rsid w:val="005C7422"/>
    <w:rsid w:val="005C7547"/>
    <w:rsid w:val="005D0924"/>
    <w:rsid w:val="005D4488"/>
    <w:rsid w:val="005D4F61"/>
    <w:rsid w:val="005E2797"/>
    <w:rsid w:val="005E315A"/>
    <w:rsid w:val="005E33EC"/>
    <w:rsid w:val="005E40BD"/>
    <w:rsid w:val="005E67B1"/>
    <w:rsid w:val="005E6DCD"/>
    <w:rsid w:val="005F38E2"/>
    <w:rsid w:val="005F6BCF"/>
    <w:rsid w:val="005F6DD6"/>
    <w:rsid w:val="005F6E40"/>
    <w:rsid w:val="00603617"/>
    <w:rsid w:val="00604D05"/>
    <w:rsid w:val="00605596"/>
    <w:rsid w:val="0060785F"/>
    <w:rsid w:val="006101A8"/>
    <w:rsid w:val="0061318E"/>
    <w:rsid w:val="00613D6B"/>
    <w:rsid w:val="00615211"/>
    <w:rsid w:val="006242F5"/>
    <w:rsid w:val="00627431"/>
    <w:rsid w:val="00630920"/>
    <w:rsid w:val="006431F8"/>
    <w:rsid w:val="00643729"/>
    <w:rsid w:val="006439D4"/>
    <w:rsid w:val="00644328"/>
    <w:rsid w:val="00644D21"/>
    <w:rsid w:val="00655ED8"/>
    <w:rsid w:val="0066419A"/>
    <w:rsid w:val="00667B01"/>
    <w:rsid w:val="00667B23"/>
    <w:rsid w:val="0067070B"/>
    <w:rsid w:val="00670B56"/>
    <w:rsid w:val="00671D1B"/>
    <w:rsid w:val="0067396C"/>
    <w:rsid w:val="0067543A"/>
    <w:rsid w:val="00676189"/>
    <w:rsid w:val="00677634"/>
    <w:rsid w:val="00680C02"/>
    <w:rsid w:val="00682D0F"/>
    <w:rsid w:val="006904D9"/>
    <w:rsid w:val="0069273A"/>
    <w:rsid w:val="006929A2"/>
    <w:rsid w:val="006A2FB5"/>
    <w:rsid w:val="006A52C4"/>
    <w:rsid w:val="006B561C"/>
    <w:rsid w:val="006B5660"/>
    <w:rsid w:val="006B6DF5"/>
    <w:rsid w:val="006C1744"/>
    <w:rsid w:val="006C2475"/>
    <w:rsid w:val="006C574D"/>
    <w:rsid w:val="006C5C7A"/>
    <w:rsid w:val="006C6C7B"/>
    <w:rsid w:val="006D230D"/>
    <w:rsid w:val="006D4953"/>
    <w:rsid w:val="006D4E79"/>
    <w:rsid w:val="006D51AC"/>
    <w:rsid w:val="006E064A"/>
    <w:rsid w:val="006E2A47"/>
    <w:rsid w:val="006E350C"/>
    <w:rsid w:val="006E72D7"/>
    <w:rsid w:val="006F1EF7"/>
    <w:rsid w:val="006F3098"/>
    <w:rsid w:val="006F6AF2"/>
    <w:rsid w:val="006F6F63"/>
    <w:rsid w:val="006F7073"/>
    <w:rsid w:val="006F7533"/>
    <w:rsid w:val="0070382B"/>
    <w:rsid w:val="007073B8"/>
    <w:rsid w:val="00707B2D"/>
    <w:rsid w:val="00710ABF"/>
    <w:rsid w:val="00711AEA"/>
    <w:rsid w:val="00711C52"/>
    <w:rsid w:val="00712C3A"/>
    <w:rsid w:val="0071701C"/>
    <w:rsid w:val="007202E3"/>
    <w:rsid w:val="00720705"/>
    <w:rsid w:val="00724976"/>
    <w:rsid w:val="00725E67"/>
    <w:rsid w:val="007270B6"/>
    <w:rsid w:val="00731DD2"/>
    <w:rsid w:val="00733E54"/>
    <w:rsid w:val="00733F5B"/>
    <w:rsid w:val="007351CB"/>
    <w:rsid w:val="00735518"/>
    <w:rsid w:val="0073564E"/>
    <w:rsid w:val="0073606A"/>
    <w:rsid w:val="007403F9"/>
    <w:rsid w:val="007405CE"/>
    <w:rsid w:val="007450C7"/>
    <w:rsid w:val="00755D83"/>
    <w:rsid w:val="00761A25"/>
    <w:rsid w:val="007637A4"/>
    <w:rsid w:val="00763ACF"/>
    <w:rsid w:val="00763B68"/>
    <w:rsid w:val="00764F65"/>
    <w:rsid w:val="007667F9"/>
    <w:rsid w:val="00775F85"/>
    <w:rsid w:val="0078151C"/>
    <w:rsid w:val="0079005D"/>
    <w:rsid w:val="007909BD"/>
    <w:rsid w:val="00793A59"/>
    <w:rsid w:val="007A1425"/>
    <w:rsid w:val="007A3351"/>
    <w:rsid w:val="007A3E4D"/>
    <w:rsid w:val="007A5167"/>
    <w:rsid w:val="007A60B0"/>
    <w:rsid w:val="007A6157"/>
    <w:rsid w:val="007A6DEE"/>
    <w:rsid w:val="007B098E"/>
    <w:rsid w:val="007B0DB7"/>
    <w:rsid w:val="007B2E3D"/>
    <w:rsid w:val="007C077B"/>
    <w:rsid w:val="007C4EF6"/>
    <w:rsid w:val="007D2F03"/>
    <w:rsid w:val="007D35FB"/>
    <w:rsid w:val="007D3A91"/>
    <w:rsid w:val="007D5FF1"/>
    <w:rsid w:val="007E32E9"/>
    <w:rsid w:val="007F5CBE"/>
    <w:rsid w:val="007F7CF9"/>
    <w:rsid w:val="008025CF"/>
    <w:rsid w:val="00805653"/>
    <w:rsid w:val="00807387"/>
    <w:rsid w:val="00814B75"/>
    <w:rsid w:val="00815F36"/>
    <w:rsid w:val="00815F6C"/>
    <w:rsid w:val="00816890"/>
    <w:rsid w:val="00820082"/>
    <w:rsid w:val="0082082A"/>
    <w:rsid w:val="00823594"/>
    <w:rsid w:val="00823D1F"/>
    <w:rsid w:val="0082563D"/>
    <w:rsid w:val="0082725E"/>
    <w:rsid w:val="00832B06"/>
    <w:rsid w:val="00833881"/>
    <w:rsid w:val="0084160F"/>
    <w:rsid w:val="008424BD"/>
    <w:rsid w:val="00842AEC"/>
    <w:rsid w:val="0084463B"/>
    <w:rsid w:val="00851937"/>
    <w:rsid w:val="00851FE9"/>
    <w:rsid w:val="00854324"/>
    <w:rsid w:val="008562CE"/>
    <w:rsid w:val="00857EE7"/>
    <w:rsid w:val="00862627"/>
    <w:rsid w:val="00864962"/>
    <w:rsid w:val="00870C40"/>
    <w:rsid w:val="008721AF"/>
    <w:rsid w:val="00875E71"/>
    <w:rsid w:val="008766A1"/>
    <w:rsid w:val="008778E5"/>
    <w:rsid w:val="00880C54"/>
    <w:rsid w:val="008840EF"/>
    <w:rsid w:val="00887B0B"/>
    <w:rsid w:val="00890F62"/>
    <w:rsid w:val="008914E3"/>
    <w:rsid w:val="008928EA"/>
    <w:rsid w:val="00895564"/>
    <w:rsid w:val="008A180F"/>
    <w:rsid w:val="008A1D5F"/>
    <w:rsid w:val="008A38DA"/>
    <w:rsid w:val="008A4C8E"/>
    <w:rsid w:val="008B0F15"/>
    <w:rsid w:val="008B386A"/>
    <w:rsid w:val="008B5AAF"/>
    <w:rsid w:val="008B6604"/>
    <w:rsid w:val="008B76DB"/>
    <w:rsid w:val="008C1E56"/>
    <w:rsid w:val="008C26D6"/>
    <w:rsid w:val="008C7728"/>
    <w:rsid w:val="008D461D"/>
    <w:rsid w:val="008D6573"/>
    <w:rsid w:val="008E3427"/>
    <w:rsid w:val="008E5413"/>
    <w:rsid w:val="008E5C22"/>
    <w:rsid w:val="008F2EA3"/>
    <w:rsid w:val="008F5C6C"/>
    <w:rsid w:val="008F5DCC"/>
    <w:rsid w:val="00901229"/>
    <w:rsid w:val="00901291"/>
    <w:rsid w:val="00902439"/>
    <w:rsid w:val="00902FF8"/>
    <w:rsid w:val="00903EB7"/>
    <w:rsid w:val="009056D9"/>
    <w:rsid w:val="009060DE"/>
    <w:rsid w:val="009101C7"/>
    <w:rsid w:val="0091065C"/>
    <w:rsid w:val="009116CD"/>
    <w:rsid w:val="00912D4D"/>
    <w:rsid w:val="00914C8D"/>
    <w:rsid w:val="00917671"/>
    <w:rsid w:val="0092010F"/>
    <w:rsid w:val="00920B8E"/>
    <w:rsid w:val="00925C11"/>
    <w:rsid w:val="00927679"/>
    <w:rsid w:val="009277E3"/>
    <w:rsid w:val="00934184"/>
    <w:rsid w:val="00935F8F"/>
    <w:rsid w:val="009360D4"/>
    <w:rsid w:val="00941E91"/>
    <w:rsid w:val="00945708"/>
    <w:rsid w:val="00945744"/>
    <w:rsid w:val="009458FE"/>
    <w:rsid w:val="00946CBF"/>
    <w:rsid w:val="00950A5C"/>
    <w:rsid w:val="0095329B"/>
    <w:rsid w:val="00953AC4"/>
    <w:rsid w:val="00956D2B"/>
    <w:rsid w:val="009576A0"/>
    <w:rsid w:val="00957C4E"/>
    <w:rsid w:val="009627AF"/>
    <w:rsid w:val="00962F14"/>
    <w:rsid w:val="00964655"/>
    <w:rsid w:val="0097260F"/>
    <w:rsid w:val="00974C08"/>
    <w:rsid w:val="00975B8F"/>
    <w:rsid w:val="009763ED"/>
    <w:rsid w:val="00981064"/>
    <w:rsid w:val="0098279D"/>
    <w:rsid w:val="00983289"/>
    <w:rsid w:val="009834FD"/>
    <w:rsid w:val="00983635"/>
    <w:rsid w:val="009836C7"/>
    <w:rsid w:val="009840F5"/>
    <w:rsid w:val="009856F1"/>
    <w:rsid w:val="00986398"/>
    <w:rsid w:val="00987B89"/>
    <w:rsid w:val="0099170C"/>
    <w:rsid w:val="00991B8B"/>
    <w:rsid w:val="00991D6D"/>
    <w:rsid w:val="00993618"/>
    <w:rsid w:val="00993CFE"/>
    <w:rsid w:val="0099480B"/>
    <w:rsid w:val="009974D3"/>
    <w:rsid w:val="009979B9"/>
    <w:rsid w:val="009A4180"/>
    <w:rsid w:val="009A4234"/>
    <w:rsid w:val="009A6E90"/>
    <w:rsid w:val="009B0D2B"/>
    <w:rsid w:val="009B0F22"/>
    <w:rsid w:val="009B4832"/>
    <w:rsid w:val="009B4E3F"/>
    <w:rsid w:val="009B5E5F"/>
    <w:rsid w:val="009C0C9D"/>
    <w:rsid w:val="009C1A91"/>
    <w:rsid w:val="009C31BE"/>
    <w:rsid w:val="009C34DA"/>
    <w:rsid w:val="009C40F4"/>
    <w:rsid w:val="009C75EA"/>
    <w:rsid w:val="009C7D29"/>
    <w:rsid w:val="009D05AB"/>
    <w:rsid w:val="009D4F9C"/>
    <w:rsid w:val="009D633C"/>
    <w:rsid w:val="009D71D5"/>
    <w:rsid w:val="009E28A1"/>
    <w:rsid w:val="009E6FE2"/>
    <w:rsid w:val="009E70AA"/>
    <w:rsid w:val="009E7753"/>
    <w:rsid w:val="009F2558"/>
    <w:rsid w:val="009F37A9"/>
    <w:rsid w:val="009F7D06"/>
    <w:rsid w:val="00A00152"/>
    <w:rsid w:val="00A00344"/>
    <w:rsid w:val="00A0076D"/>
    <w:rsid w:val="00A00E95"/>
    <w:rsid w:val="00A04978"/>
    <w:rsid w:val="00A07E38"/>
    <w:rsid w:val="00A102A2"/>
    <w:rsid w:val="00A119A2"/>
    <w:rsid w:val="00A119D0"/>
    <w:rsid w:val="00A1333C"/>
    <w:rsid w:val="00A14E40"/>
    <w:rsid w:val="00A161EA"/>
    <w:rsid w:val="00A16B09"/>
    <w:rsid w:val="00A206CE"/>
    <w:rsid w:val="00A223C3"/>
    <w:rsid w:val="00A23E8C"/>
    <w:rsid w:val="00A257C2"/>
    <w:rsid w:val="00A2733C"/>
    <w:rsid w:val="00A2733E"/>
    <w:rsid w:val="00A35AC7"/>
    <w:rsid w:val="00A36D59"/>
    <w:rsid w:val="00A41349"/>
    <w:rsid w:val="00A41904"/>
    <w:rsid w:val="00A432AF"/>
    <w:rsid w:val="00A43845"/>
    <w:rsid w:val="00A43ACD"/>
    <w:rsid w:val="00A4499A"/>
    <w:rsid w:val="00A45E6F"/>
    <w:rsid w:val="00A50415"/>
    <w:rsid w:val="00A50472"/>
    <w:rsid w:val="00A513BC"/>
    <w:rsid w:val="00A51F1B"/>
    <w:rsid w:val="00A5222E"/>
    <w:rsid w:val="00A54348"/>
    <w:rsid w:val="00A549F7"/>
    <w:rsid w:val="00A559AE"/>
    <w:rsid w:val="00A57B6C"/>
    <w:rsid w:val="00A671C9"/>
    <w:rsid w:val="00A672B7"/>
    <w:rsid w:val="00A71AAA"/>
    <w:rsid w:val="00A72079"/>
    <w:rsid w:val="00A73B1F"/>
    <w:rsid w:val="00A76553"/>
    <w:rsid w:val="00A77DBF"/>
    <w:rsid w:val="00A80630"/>
    <w:rsid w:val="00A80C3D"/>
    <w:rsid w:val="00A81936"/>
    <w:rsid w:val="00A81F95"/>
    <w:rsid w:val="00A86006"/>
    <w:rsid w:val="00A90F5C"/>
    <w:rsid w:val="00A91A16"/>
    <w:rsid w:val="00A922CE"/>
    <w:rsid w:val="00A94FBF"/>
    <w:rsid w:val="00A95348"/>
    <w:rsid w:val="00A96F97"/>
    <w:rsid w:val="00AA11A8"/>
    <w:rsid w:val="00AA25ED"/>
    <w:rsid w:val="00AA2D1B"/>
    <w:rsid w:val="00AA53AE"/>
    <w:rsid w:val="00AA73AA"/>
    <w:rsid w:val="00AA79B7"/>
    <w:rsid w:val="00AB3B17"/>
    <w:rsid w:val="00AB4B2E"/>
    <w:rsid w:val="00AB7EC4"/>
    <w:rsid w:val="00AC030A"/>
    <w:rsid w:val="00AC1E67"/>
    <w:rsid w:val="00AC26F3"/>
    <w:rsid w:val="00AC2893"/>
    <w:rsid w:val="00AC2940"/>
    <w:rsid w:val="00AC3B5F"/>
    <w:rsid w:val="00AC6B2A"/>
    <w:rsid w:val="00AC71D2"/>
    <w:rsid w:val="00AD1196"/>
    <w:rsid w:val="00AD1EF5"/>
    <w:rsid w:val="00AD2991"/>
    <w:rsid w:val="00AD4AB0"/>
    <w:rsid w:val="00AD73AD"/>
    <w:rsid w:val="00AE1929"/>
    <w:rsid w:val="00AE35E3"/>
    <w:rsid w:val="00AE7542"/>
    <w:rsid w:val="00AF078E"/>
    <w:rsid w:val="00AF48E4"/>
    <w:rsid w:val="00AF6030"/>
    <w:rsid w:val="00B03F51"/>
    <w:rsid w:val="00B07EAC"/>
    <w:rsid w:val="00B10A6F"/>
    <w:rsid w:val="00B11246"/>
    <w:rsid w:val="00B113A4"/>
    <w:rsid w:val="00B1363F"/>
    <w:rsid w:val="00B14560"/>
    <w:rsid w:val="00B17DAF"/>
    <w:rsid w:val="00B21A7F"/>
    <w:rsid w:val="00B25133"/>
    <w:rsid w:val="00B2618B"/>
    <w:rsid w:val="00B27ECB"/>
    <w:rsid w:val="00B3007D"/>
    <w:rsid w:val="00B33A71"/>
    <w:rsid w:val="00B346B5"/>
    <w:rsid w:val="00B3657C"/>
    <w:rsid w:val="00B413B6"/>
    <w:rsid w:val="00B41635"/>
    <w:rsid w:val="00B42611"/>
    <w:rsid w:val="00B426B9"/>
    <w:rsid w:val="00B4339D"/>
    <w:rsid w:val="00B43548"/>
    <w:rsid w:val="00B45501"/>
    <w:rsid w:val="00B50A40"/>
    <w:rsid w:val="00B51232"/>
    <w:rsid w:val="00B52D95"/>
    <w:rsid w:val="00B5353D"/>
    <w:rsid w:val="00B55F42"/>
    <w:rsid w:val="00B572AB"/>
    <w:rsid w:val="00B618C2"/>
    <w:rsid w:val="00B6439D"/>
    <w:rsid w:val="00B64EB4"/>
    <w:rsid w:val="00B64F1D"/>
    <w:rsid w:val="00B6565D"/>
    <w:rsid w:val="00B668FC"/>
    <w:rsid w:val="00B6736F"/>
    <w:rsid w:val="00B67C24"/>
    <w:rsid w:val="00B73337"/>
    <w:rsid w:val="00B736CE"/>
    <w:rsid w:val="00B744A7"/>
    <w:rsid w:val="00B745D7"/>
    <w:rsid w:val="00B800F0"/>
    <w:rsid w:val="00B83BE4"/>
    <w:rsid w:val="00B848BF"/>
    <w:rsid w:val="00B85173"/>
    <w:rsid w:val="00B85B1F"/>
    <w:rsid w:val="00B8796B"/>
    <w:rsid w:val="00B87EE8"/>
    <w:rsid w:val="00B90EB0"/>
    <w:rsid w:val="00B91CC9"/>
    <w:rsid w:val="00B92096"/>
    <w:rsid w:val="00B928B8"/>
    <w:rsid w:val="00B966A8"/>
    <w:rsid w:val="00B9789A"/>
    <w:rsid w:val="00BA6048"/>
    <w:rsid w:val="00BA6D74"/>
    <w:rsid w:val="00BB2A6D"/>
    <w:rsid w:val="00BB4974"/>
    <w:rsid w:val="00BB4A25"/>
    <w:rsid w:val="00BB56EF"/>
    <w:rsid w:val="00BB6D12"/>
    <w:rsid w:val="00BC16DE"/>
    <w:rsid w:val="00BC4101"/>
    <w:rsid w:val="00BC4214"/>
    <w:rsid w:val="00BC5571"/>
    <w:rsid w:val="00BD07DA"/>
    <w:rsid w:val="00BD4E4F"/>
    <w:rsid w:val="00BD5DDF"/>
    <w:rsid w:val="00BD654C"/>
    <w:rsid w:val="00BD6FD7"/>
    <w:rsid w:val="00BD7296"/>
    <w:rsid w:val="00BE08C6"/>
    <w:rsid w:val="00BE0D51"/>
    <w:rsid w:val="00BE0F0D"/>
    <w:rsid w:val="00BE2914"/>
    <w:rsid w:val="00BE3A4D"/>
    <w:rsid w:val="00BE674F"/>
    <w:rsid w:val="00BE7DC3"/>
    <w:rsid w:val="00BF5AAB"/>
    <w:rsid w:val="00BF7D74"/>
    <w:rsid w:val="00C04A7B"/>
    <w:rsid w:val="00C0550D"/>
    <w:rsid w:val="00C05853"/>
    <w:rsid w:val="00C0747E"/>
    <w:rsid w:val="00C10281"/>
    <w:rsid w:val="00C14046"/>
    <w:rsid w:val="00C1646B"/>
    <w:rsid w:val="00C16D02"/>
    <w:rsid w:val="00C17E31"/>
    <w:rsid w:val="00C2029B"/>
    <w:rsid w:val="00C20BDA"/>
    <w:rsid w:val="00C2551F"/>
    <w:rsid w:val="00C27386"/>
    <w:rsid w:val="00C31BBE"/>
    <w:rsid w:val="00C327C6"/>
    <w:rsid w:val="00C32A5E"/>
    <w:rsid w:val="00C3348D"/>
    <w:rsid w:val="00C334EE"/>
    <w:rsid w:val="00C409B4"/>
    <w:rsid w:val="00C42D47"/>
    <w:rsid w:val="00C4714A"/>
    <w:rsid w:val="00C47272"/>
    <w:rsid w:val="00C54EDE"/>
    <w:rsid w:val="00C552A1"/>
    <w:rsid w:val="00C57AF9"/>
    <w:rsid w:val="00C57ED0"/>
    <w:rsid w:val="00C62BF2"/>
    <w:rsid w:val="00C651EF"/>
    <w:rsid w:val="00C67D8D"/>
    <w:rsid w:val="00C70EDE"/>
    <w:rsid w:val="00C75B1A"/>
    <w:rsid w:val="00C77BFD"/>
    <w:rsid w:val="00C81C81"/>
    <w:rsid w:val="00C854B8"/>
    <w:rsid w:val="00C92903"/>
    <w:rsid w:val="00C92A5A"/>
    <w:rsid w:val="00C96433"/>
    <w:rsid w:val="00CA083F"/>
    <w:rsid w:val="00CA1CA0"/>
    <w:rsid w:val="00CA3638"/>
    <w:rsid w:val="00CA3F4F"/>
    <w:rsid w:val="00CA46BA"/>
    <w:rsid w:val="00CA51EE"/>
    <w:rsid w:val="00CA567C"/>
    <w:rsid w:val="00CA7AF2"/>
    <w:rsid w:val="00CA7BCB"/>
    <w:rsid w:val="00CB1321"/>
    <w:rsid w:val="00CB1721"/>
    <w:rsid w:val="00CB492C"/>
    <w:rsid w:val="00CC010B"/>
    <w:rsid w:val="00CC31D3"/>
    <w:rsid w:val="00CC4326"/>
    <w:rsid w:val="00CC435A"/>
    <w:rsid w:val="00CC48BC"/>
    <w:rsid w:val="00CC4A0B"/>
    <w:rsid w:val="00CC62FF"/>
    <w:rsid w:val="00CC6C2B"/>
    <w:rsid w:val="00CD0C71"/>
    <w:rsid w:val="00CD220E"/>
    <w:rsid w:val="00CD27FB"/>
    <w:rsid w:val="00CD3684"/>
    <w:rsid w:val="00CD5352"/>
    <w:rsid w:val="00CD73FA"/>
    <w:rsid w:val="00CE19B6"/>
    <w:rsid w:val="00CE2DBB"/>
    <w:rsid w:val="00CE5A08"/>
    <w:rsid w:val="00CF25CB"/>
    <w:rsid w:val="00CF5E22"/>
    <w:rsid w:val="00D04882"/>
    <w:rsid w:val="00D109D0"/>
    <w:rsid w:val="00D10FEA"/>
    <w:rsid w:val="00D12923"/>
    <w:rsid w:val="00D13755"/>
    <w:rsid w:val="00D17DDB"/>
    <w:rsid w:val="00D211EA"/>
    <w:rsid w:val="00D2320E"/>
    <w:rsid w:val="00D2421E"/>
    <w:rsid w:val="00D2435E"/>
    <w:rsid w:val="00D27B9C"/>
    <w:rsid w:val="00D35681"/>
    <w:rsid w:val="00D36798"/>
    <w:rsid w:val="00D40257"/>
    <w:rsid w:val="00D40E04"/>
    <w:rsid w:val="00D40FC8"/>
    <w:rsid w:val="00D42552"/>
    <w:rsid w:val="00D4438D"/>
    <w:rsid w:val="00D453B8"/>
    <w:rsid w:val="00D51B04"/>
    <w:rsid w:val="00D51E23"/>
    <w:rsid w:val="00D5297F"/>
    <w:rsid w:val="00D55789"/>
    <w:rsid w:val="00D559FC"/>
    <w:rsid w:val="00D55FC7"/>
    <w:rsid w:val="00D60B9F"/>
    <w:rsid w:val="00D707B5"/>
    <w:rsid w:val="00D71702"/>
    <w:rsid w:val="00D74530"/>
    <w:rsid w:val="00D769C1"/>
    <w:rsid w:val="00D77E63"/>
    <w:rsid w:val="00D80B3C"/>
    <w:rsid w:val="00D81EFA"/>
    <w:rsid w:val="00D84276"/>
    <w:rsid w:val="00D84BBE"/>
    <w:rsid w:val="00D84CD5"/>
    <w:rsid w:val="00D85A12"/>
    <w:rsid w:val="00D85A6C"/>
    <w:rsid w:val="00D86A24"/>
    <w:rsid w:val="00D86D46"/>
    <w:rsid w:val="00D900F4"/>
    <w:rsid w:val="00D903D8"/>
    <w:rsid w:val="00D919EF"/>
    <w:rsid w:val="00D922AF"/>
    <w:rsid w:val="00D922BC"/>
    <w:rsid w:val="00D92C48"/>
    <w:rsid w:val="00D946CA"/>
    <w:rsid w:val="00D96264"/>
    <w:rsid w:val="00D9639C"/>
    <w:rsid w:val="00D974D7"/>
    <w:rsid w:val="00DA3CA9"/>
    <w:rsid w:val="00DA6FB0"/>
    <w:rsid w:val="00DA71DA"/>
    <w:rsid w:val="00DB0AB7"/>
    <w:rsid w:val="00DB0FB3"/>
    <w:rsid w:val="00DB1783"/>
    <w:rsid w:val="00DB240D"/>
    <w:rsid w:val="00DB2527"/>
    <w:rsid w:val="00DB35BF"/>
    <w:rsid w:val="00DB3983"/>
    <w:rsid w:val="00DB3BF6"/>
    <w:rsid w:val="00DB5462"/>
    <w:rsid w:val="00DB5799"/>
    <w:rsid w:val="00DC1050"/>
    <w:rsid w:val="00DC1DBE"/>
    <w:rsid w:val="00DC2635"/>
    <w:rsid w:val="00DC5316"/>
    <w:rsid w:val="00DC675B"/>
    <w:rsid w:val="00DC7860"/>
    <w:rsid w:val="00DC79A0"/>
    <w:rsid w:val="00DD1A40"/>
    <w:rsid w:val="00DD1CBB"/>
    <w:rsid w:val="00DD3768"/>
    <w:rsid w:val="00DD442E"/>
    <w:rsid w:val="00DD5FD9"/>
    <w:rsid w:val="00DE1662"/>
    <w:rsid w:val="00DE6873"/>
    <w:rsid w:val="00DE77C7"/>
    <w:rsid w:val="00DE7AFD"/>
    <w:rsid w:val="00DE7B4D"/>
    <w:rsid w:val="00DF44B3"/>
    <w:rsid w:val="00E03DFA"/>
    <w:rsid w:val="00E04F79"/>
    <w:rsid w:val="00E10409"/>
    <w:rsid w:val="00E10AE4"/>
    <w:rsid w:val="00E1141B"/>
    <w:rsid w:val="00E20952"/>
    <w:rsid w:val="00E22988"/>
    <w:rsid w:val="00E2325E"/>
    <w:rsid w:val="00E32965"/>
    <w:rsid w:val="00E3305A"/>
    <w:rsid w:val="00E342F8"/>
    <w:rsid w:val="00E3546D"/>
    <w:rsid w:val="00E36324"/>
    <w:rsid w:val="00E370F0"/>
    <w:rsid w:val="00E37E66"/>
    <w:rsid w:val="00E4290D"/>
    <w:rsid w:val="00E43D15"/>
    <w:rsid w:val="00E45FE4"/>
    <w:rsid w:val="00E47DB7"/>
    <w:rsid w:val="00E537F0"/>
    <w:rsid w:val="00E64183"/>
    <w:rsid w:val="00E67FF3"/>
    <w:rsid w:val="00E7053A"/>
    <w:rsid w:val="00E724E3"/>
    <w:rsid w:val="00E7353E"/>
    <w:rsid w:val="00E73D8C"/>
    <w:rsid w:val="00E7480D"/>
    <w:rsid w:val="00E76DEA"/>
    <w:rsid w:val="00E835C1"/>
    <w:rsid w:val="00EA077B"/>
    <w:rsid w:val="00EA1EC1"/>
    <w:rsid w:val="00EA426D"/>
    <w:rsid w:val="00EA6198"/>
    <w:rsid w:val="00EA6429"/>
    <w:rsid w:val="00EA7963"/>
    <w:rsid w:val="00EA7E72"/>
    <w:rsid w:val="00EB1429"/>
    <w:rsid w:val="00EB1C77"/>
    <w:rsid w:val="00EB1ED9"/>
    <w:rsid w:val="00EB2F85"/>
    <w:rsid w:val="00EB3E0D"/>
    <w:rsid w:val="00EB6149"/>
    <w:rsid w:val="00EC1639"/>
    <w:rsid w:val="00EC3451"/>
    <w:rsid w:val="00EC566F"/>
    <w:rsid w:val="00EC63B7"/>
    <w:rsid w:val="00EC76E3"/>
    <w:rsid w:val="00ED030F"/>
    <w:rsid w:val="00ED26A1"/>
    <w:rsid w:val="00ED2E0A"/>
    <w:rsid w:val="00ED3672"/>
    <w:rsid w:val="00ED4AA9"/>
    <w:rsid w:val="00ED62F8"/>
    <w:rsid w:val="00EE1F6E"/>
    <w:rsid w:val="00EE29B0"/>
    <w:rsid w:val="00EE3385"/>
    <w:rsid w:val="00EE3F79"/>
    <w:rsid w:val="00EE5574"/>
    <w:rsid w:val="00EE726C"/>
    <w:rsid w:val="00EE7A30"/>
    <w:rsid w:val="00EF0C33"/>
    <w:rsid w:val="00EF2269"/>
    <w:rsid w:val="00EF4321"/>
    <w:rsid w:val="00EF59DD"/>
    <w:rsid w:val="00EF6A08"/>
    <w:rsid w:val="00F0508B"/>
    <w:rsid w:val="00F10E55"/>
    <w:rsid w:val="00F14C55"/>
    <w:rsid w:val="00F2148D"/>
    <w:rsid w:val="00F2160A"/>
    <w:rsid w:val="00F22A65"/>
    <w:rsid w:val="00F23A45"/>
    <w:rsid w:val="00F25025"/>
    <w:rsid w:val="00F25C50"/>
    <w:rsid w:val="00F25D18"/>
    <w:rsid w:val="00F2607D"/>
    <w:rsid w:val="00F274FC"/>
    <w:rsid w:val="00F3503D"/>
    <w:rsid w:val="00F35261"/>
    <w:rsid w:val="00F40D9D"/>
    <w:rsid w:val="00F42F6C"/>
    <w:rsid w:val="00F43FE0"/>
    <w:rsid w:val="00F458B3"/>
    <w:rsid w:val="00F45DBF"/>
    <w:rsid w:val="00F506EB"/>
    <w:rsid w:val="00F50DB7"/>
    <w:rsid w:val="00F54610"/>
    <w:rsid w:val="00F54D28"/>
    <w:rsid w:val="00F5641D"/>
    <w:rsid w:val="00F57531"/>
    <w:rsid w:val="00F607C1"/>
    <w:rsid w:val="00F61164"/>
    <w:rsid w:val="00F635F6"/>
    <w:rsid w:val="00F70A8C"/>
    <w:rsid w:val="00F732CD"/>
    <w:rsid w:val="00F7464F"/>
    <w:rsid w:val="00F746A7"/>
    <w:rsid w:val="00F817C6"/>
    <w:rsid w:val="00F84D23"/>
    <w:rsid w:val="00F91137"/>
    <w:rsid w:val="00F911ED"/>
    <w:rsid w:val="00F91595"/>
    <w:rsid w:val="00F95C29"/>
    <w:rsid w:val="00F95D3A"/>
    <w:rsid w:val="00FA4BEB"/>
    <w:rsid w:val="00FA5979"/>
    <w:rsid w:val="00FA76FA"/>
    <w:rsid w:val="00FB057E"/>
    <w:rsid w:val="00FB1CC4"/>
    <w:rsid w:val="00FC57B0"/>
    <w:rsid w:val="00FC58F0"/>
    <w:rsid w:val="00FD1275"/>
    <w:rsid w:val="00FD16F3"/>
    <w:rsid w:val="00FD2D3C"/>
    <w:rsid w:val="00FD654E"/>
    <w:rsid w:val="00FD730B"/>
    <w:rsid w:val="00FE1E14"/>
    <w:rsid w:val="00FE6FA6"/>
    <w:rsid w:val="00FF167E"/>
    <w:rsid w:val="00FF27E0"/>
    <w:rsid w:val="00FF2C9C"/>
    <w:rsid w:val="00FF4191"/>
    <w:rsid w:val="00FF5FD5"/>
    <w:rsid w:val="00FF61E8"/>
    <w:rsid w:val="00FF76BF"/>
    <w:rsid w:val="18405932"/>
    <w:rsid w:val="1F7F14D2"/>
    <w:rsid w:val="36D34448"/>
    <w:rsid w:val="37B444C7"/>
    <w:rsid w:val="3BC66757"/>
    <w:rsid w:val="47EF3023"/>
    <w:rsid w:val="49E55EFF"/>
    <w:rsid w:val="59FB0F27"/>
    <w:rsid w:val="5EBA78EA"/>
    <w:rsid w:val="729D0D1B"/>
    <w:rsid w:val="768817A8"/>
    <w:rsid w:val="7ADF3C0D"/>
    <w:rsid w:val="7BD703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List 2"/>
    <w:basedOn w:val="1"/>
    <w:qFormat/>
    <w:uiPriority w:val="99"/>
    <w:pPr>
      <w:widowControl/>
      <w:overflowPunct w:val="0"/>
      <w:autoSpaceDE w:val="0"/>
      <w:autoSpaceDN w:val="0"/>
      <w:adjustRightInd w:val="0"/>
      <w:ind w:left="720" w:hanging="360"/>
      <w:jc w:val="left"/>
      <w:textAlignment w:val="baseline"/>
    </w:pPr>
    <w:rPr>
      <w:rFonts w:ascii="Times New Roman" w:hAnsi="Times New Roman"/>
      <w:kern w:val="0"/>
      <w:sz w:val="20"/>
      <w:szCs w:val="24"/>
      <w:lang w:val="en-GB"/>
    </w:rPr>
  </w:style>
  <w:style w:type="paragraph" w:styleId="4">
    <w:name w:val="Plain Text"/>
    <w:basedOn w:val="1"/>
    <w:link w:val="18"/>
    <w:qFormat/>
    <w:uiPriority w:val="0"/>
    <w:rPr>
      <w:rFonts w:ascii="宋体" w:hAnsi="Courier New"/>
    </w:rPr>
  </w:style>
  <w:style w:type="paragraph" w:styleId="5">
    <w:name w:val="Balloon Text"/>
    <w:basedOn w:val="1"/>
    <w:link w:val="17"/>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annotation subject"/>
    <w:basedOn w:val="2"/>
    <w:next w:val="2"/>
    <w:link w:val="16"/>
    <w:semiHidden/>
    <w:qFormat/>
    <w:uiPriority w:val="99"/>
    <w:rPr>
      <w:b/>
      <w:bCs/>
    </w:rPr>
  </w:style>
  <w:style w:type="table" w:styleId="10">
    <w:name w:val="Table Grid"/>
    <w:basedOn w:val="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qFormat/>
    <w:uiPriority w:val="99"/>
    <w:rPr>
      <w:rFonts w:cs="Times New Roman"/>
      <w:sz w:val="21"/>
    </w:rPr>
  </w:style>
  <w:style w:type="character" w:customStyle="1" w:styleId="13">
    <w:name w:val="页眉 字符"/>
    <w:basedOn w:val="11"/>
    <w:link w:val="7"/>
    <w:qFormat/>
    <w:locked/>
    <w:uiPriority w:val="99"/>
    <w:rPr>
      <w:rFonts w:ascii="Calibri" w:hAnsi="Calibri" w:eastAsia="宋体"/>
      <w:sz w:val="18"/>
    </w:rPr>
  </w:style>
  <w:style w:type="character" w:customStyle="1" w:styleId="14">
    <w:name w:val="页脚 字符"/>
    <w:basedOn w:val="11"/>
    <w:link w:val="6"/>
    <w:qFormat/>
    <w:locked/>
    <w:uiPriority w:val="99"/>
    <w:rPr>
      <w:rFonts w:ascii="Times New Roman" w:hAnsi="Times New Roman" w:eastAsia="宋体"/>
      <w:sz w:val="18"/>
    </w:rPr>
  </w:style>
  <w:style w:type="character" w:customStyle="1" w:styleId="15">
    <w:name w:val="批注文字 字符"/>
    <w:basedOn w:val="11"/>
    <w:link w:val="2"/>
    <w:qFormat/>
    <w:locked/>
    <w:uiPriority w:val="99"/>
    <w:rPr>
      <w:kern w:val="2"/>
      <w:sz w:val="22"/>
    </w:rPr>
  </w:style>
  <w:style w:type="character" w:customStyle="1" w:styleId="16">
    <w:name w:val="批注主题 字符"/>
    <w:basedOn w:val="15"/>
    <w:link w:val="8"/>
    <w:semiHidden/>
    <w:qFormat/>
    <w:locked/>
    <w:uiPriority w:val="99"/>
    <w:rPr>
      <w:b/>
      <w:kern w:val="2"/>
      <w:sz w:val="22"/>
    </w:rPr>
  </w:style>
  <w:style w:type="character" w:customStyle="1" w:styleId="17">
    <w:name w:val="批注框文本 字符"/>
    <w:basedOn w:val="11"/>
    <w:link w:val="5"/>
    <w:semiHidden/>
    <w:qFormat/>
    <w:locked/>
    <w:uiPriority w:val="99"/>
    <w:rPr>
      <w:kern w:val="2"/>
      <w:sz w:val="18"/>
    </w:rPr>
  </w:style>
  <w:style w:type="character" w:customStyle="1" w:styleId="18">
    <w:name w:val="纯文本 字符"/>
    <w:link w:val="4"/>
    <w:qFormat/>
    <w:uiPriority w:val="0"/>
    <w:rPr>
      <w:rFonts w:ascii="宋体" w:hAnsi="Courier New"/>
    </w:rPr>
  </w:style>
  <w:style w:type="character" w:customStyle="1" w:styleId="19">
    <w:name w:val="纯文本 Char1"/>
    <w:basedOn w:val="11"/>
    <w:semiHidden/>
    <w:qFormat/>
    <w:uiPriority w:val="99"/>
    <w:rPr>
      <w:rFonts w:ascii="宋体" w:hAnsi="Courier New" w:cs="Courier New"/>
      <w:szCs w:val="21"/>
    </w:rPr>
  </w:style>
  <w:style w:type="paragraph" w:styleId="20">
    <w:name w:val="No Spacing"/>
    <w:link w:val="21"/>
    <w:qFormat/>
    <w:uiPriority w:val="1"/>
    <w:rPr>
      <w:rFonts w:asciiTheme="minorHAnsi" w:hAnsiTheme="minorHAnsi" w:eastAsiaTheme="minorEastAsia" w:cstheme="minorBidi"/>
      <w:sz w:val="22"/>
      <w:szCs w:val="22"/>
      <w:lang w:val="en-US" w:eastAsia="zh-CN" w:bidi="ar-SA"/>
    </w:rPr>
  </w:style>
  <w:style w:type="character" w:customStyle="1" w:styleId="21">
    <w:name w:val="无间隔 字符"/>
    <w:basedOn w:val="11"/>
    <w:link w:val="20"/>
    <w:qFormat/>
    <w:uiPriority w:val="1"/>
    <w:rPr>
      <w:rFonts w:asciiTheme="minorHAnsi" w:hAnsiTheme="minorHAnsi" w:eastAsiaTheme="minorEastAsia" w:cstheme="minorBidi"/>
      <w:kern w:val="0"/>
      <w:sz w:val="22"/>
    </w:rPr>
  </w:style>
  <w:style w:type="paragraph" w:styleId="22">
    <w:name w:val="List Paragraph"/>
    <w:basedOn w:val="1"/>
    <w:link w:val="24"/>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4">
    <w:name w:val="列表段落 字符"/>
    <w:link w:val="22"/>
    <w:qFormat/>
    <w:uiPriority w:val="34"/>
  </w:style>
  <w:style w:type="paragraph" w:customStyle="1" w:styleId="25">
    <w:name w:val="修订1"/>
    <w:hidden/>
    <w:semiHidden/>
    <w:qFormat/>
    <w:uiPriority w:val="99"/>
    <w:rPr>
      <w:rFonts w:ascii="Calibri" w:hAnsi="Calibri" w:eastAsia="宋体" w:cs="Times New Roman"/>
      <w:kern w:val="2"/>
      <w:sz w:val="21"/>
      <w:szCs w:val="22"/>
      <w:lang w:val="en-US" w:eastAsia="zh-CN" w:bidi="ar-SA"/>
    </w:rPr>
  </w:style>
  <w:style w:type="paragraph" w:customStyle="1" w:styleId="2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16</Pages>
  <Words>10760</Words>
  <Characters>10941</Characters>
  <Lines>80</Lines>
  <Paragraphs>22</Paragraphs>
  <TotalTime>34</TotalTime>
  <ScaleCrop>false</ScaleCrop>
  <LinksUpToDate>false</LinksUpToDate>
  <CharactersWithSpaces>11062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2024-12-09T22:22:00Z</dcterms:created>
  <dc:creator>杨傲</dc:creator>
  <cp:lastModifiedBy>胡瑞芳</cp:lastModifiedBy>
  <dcterms:modified xsi:type="dcterms:W3CDTF">2025-02-13T09:06:56Z</dcterms:modified>
  <dc:title>货物买卖合同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2D55D14815974A9A9242580EE5D401AC</vt:lpwstr>
  </property>
</Properties>
</file>