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D659A">
      <w:pPr>
        <w:pStyle w:val="4"/>
        <w:spacing w:line="240" w:lineRule="auto"/>
        <w:jc w:val="center"/>
        <w:rPr>
          <w:rFonts w:ascii="Times New Roman" w:hAnsi="Times New Roman" w:eastAsia="宋体"/>
          <w:highlight w:val="none"/>
        </w:rPr>
      </w:pPr>
      <w:r>
        <w:rPr>
          <w:rFonts w:ascii="Times New Roman" w:hAnsi="Times New Roman" w:eastAsia="宋体"/>
          <w:highlight w:val="none"/>
        </w:rPr>
        <w:t>采购需求</w:t>
      </w:r>
    </w:p>
    <w:p w14:paraId="61F46745">
      <w:pPr>
        <w:spacing w:before="120" w:beforeLines="50" w:line="360" w:lineRule="auto"/>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一、采购内容及数量</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3934"/>
        <w:gridCol w:w="852"/>
        <w:gridCol w:w="709"/>
        <w:gridCol w:w="1140"/>
        <w:gridCol w:w="1130"/>
      </w:tblGrid>
      <w:tr w14:paraId="70DE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5DC59220">
            <w:pPr>
              <w:widowControl w:val="0"/>
              <w:jc w:val="center"/>
              <w:rPr>
                <w:rFonts w:ascii="Times New Roman" w:hAnsi="Times New Roman" w:eastAsia="宋体" w:cs="Times New Roman"/>
                <w:highlight w:val="none"/>
              </w:rPr>
            </w:pPr>
            <w:r>
              <w:rPr>
                <w:rFonts w:ascii="Times New Roman" w:hAnsi="Times New Roman" w:eastAsia="宋体" w:cs="Times New Roman"/>
                <w:highlight w:val="none"/>
              </w:rPr>
              <w:t>序号</w:t>
            </w:r>
          </w:p>
        </w:tc>
        <w:tc>
          <w:tcPr>
            <w:tcW w:w="2308" w:type="pct"/>
            <w:vAlign w:val="center"/>
          </w:tcPr>
          <w:p w14:paraId="1FFEE7E9">
            <w:pPr>
              <w:widowControl w:val="0"/>
              <w:jc w:val="center"/>
              <w:rPr>
                <w:rFonts w:ascii="Times New Roman" w:hAnsi="Times New Roman" w:eastAsia="宋体" w:cs="Times New Roman"/>
                <w:highlight w:val="none"/>
              </w:rPr>
            </w:pPr>
            <w:r>
              <w:rPr>
                <w:rFonts w:hint="eastAsia" w:ascii="Times New Roman" w:hAnsi="Times New Roman" w:eastAsia="宋体" w:cs="Times New Roman"/>
                <w:highlight w:val="none"/>
              </w:rPr>
              <w:t>项目</w:t>
            </w:r>
            <w:r>
              <w:rPr>
                <w:rFonts w:ascii="Times New Roman" w:hAnsi="Times New Roman" w:eastAsia="宋体" w:cs="Times New Roman"/>
                <w:highlight w:val="none"/>
              </w:rPr>
              <w:t>名称</w:t>
            </w:r>
          </w:p>
        </w:tc>
        <w:tc>
          <w:tcPr>
            <w:tcW w:w="500" w:type="pct"/>
            <w:vAlign w:val="center"/>
          </w:tcPr>
          <w:p w14:paraId="15077978">
            <w:pPr>
              <w:widowControl w:val="0"/>
              <w:jc w:val="center"/>
              <w:rPr>
                <w:rFonts w:ascii="Times New Roman" w:hAnsi="Times New Roman" w:eastAsia="宋体" w:cs="Times New Roman"/>
                <w:highlight w:val="none"/>
              </w:rPr>
            </w:pPr>
            <w:r>
              <w:rPr>
                <w:rFonts w:ascii="Times New Roman" w:hAnsi="Times New Roman" w:eastAsia="宋体" w:cs="Times New Roman"/>
                <w:highlight w:val="none"/>
              </w:rPr>
              <w:t>数量</w:t>
            </w:r>
          </w:p>
        </w:tc>
        <w:tc>
          <w:tcPr>
            <w:tcW w:w="416" w:type="pct"/>
            <w:vAlign w:val="center"/>
          </w:tcPr>
          <w:p w14:paraId="23D065BA">
            <w:pPr>
              <w:widowControl w:val="0"/>
              <w:jc w:val="center"/>
              <w:rPr>
                <w:rFonts w:ascii="Times New Roman" w:hAnsi="Times New Roman" w:eastAsia="宋体" w:cs="Times New Roman"/>
                <w:highlight w:val="none"/>
              </w:rPr>
            </w:pPr>
            <w:r>
              <w:rPr>
                <w:rFonts w:ascii="Times New Roman" w:hAnsi="Times New Roman" w:eastAsia="宋体" w:cs="Times New Roman"/>
                <w:highlight w:val="none"/>
              </w:rPr>
              <w:t>单位</w:t>
            </w:r>
          </w:p>
        </w:tc>
        <w:tc>
          <w:tcPr>
            <w:tcW w:w="669" w:type="pct"/>
            <w:vAlign w:val="center"/>
          </w:tcPr>
          <w:p w14:paraId="59C88E58">
            <w:pPr>
              <w:widowControl w:val="0"/>
              <w:jc w:val="center"/>
              <w:rPr>
                <w:rFonts w:ascii="Times New Roman" w:hAnsi="Times New Roman" w:eastAsia="宋体" w:cs="Times New Roman"/>
                <w:highlight w:val="none"/>
              </w:rPr>
            </w:pPr>
            <w:r>
              <w:rPr>
                <w:rFonts w:ascii="Times New Roman" w:hAnsi="Times New Roman" w:eastAsia="宋体" w:cs="Times New Roman"/>
                <w:highlight w:val="none"/>
              </w:rPr>
              <w:t>预算金额</w:t>
            </w:r>
          </w:p>
          <w:p w14:paraId="77471039">
            <w:pPr>
              <w:widowControl w:val="0"/>
              <w:jc w:val="center"/>
              <w:rPr>
                <w:rFonts w:ascii="Times New Roman" w:hAnsi="Times New Roman" w:eastAsia="宋体" w:cs="Times New Roman"/>
                <w:highlight w:val="none"/>
              </w:rPr>
            </w:pPr>
            <w:r>
              <w:rPr>
                <w:rFonts w:ascii="Times New Roman" w:hAnsi="Times New Roman" w:eastAsia="宋体" w:cs="Times New Roman"/>
                <w:highlight w:val="none"/>
              </w:rPr>
              <w:t>(万元)</w:t>
            </w:r>
          </w:p>
        </w:tc>
        <w:tc>
          <w:tcPr>
            <w:tcW w:w="663" w:type="pct"/>
            <w:vAlign w:val="center"/>
          </w:tcPr>
          <w:p w14:paraId="21A16167">
            <w:pPr>
              <w:widowControl w:val="0"/>
              <w:jc w:val="center"/>
              <w:rPr>
                <w:rFonts w:ascii="Times New Roman" w:hAnsi="Times New Roman" w:eastAsia="宋体" w:cs="Times New Roman"/>
                <w:highlight w:val="none"/>
              </w:rPr>
            </w:pPr>
            <w:r>
              <w:rPr>
                <w:rFonts w:ascii="Times New Roman" w:hAnsi="Times New Roman" w:eastAsia="宋体" w:cs="Times New Roman"/>
                <w:highlight w:val="none"/>
              </w:rPr>
              <w:t>最高限价</w:t>
            </w:r>
          </w:p>
          <w:p w14:paraId="352D1640">
            <w:pPr>
              <w:widowControl w:val="0"/>
              <w:jc w:val="center"/>
              <w:rPr>
                <w:rFonts w:ascii="Times New Roman" w:hAnsi="Times New Roman" w:eastAsia="宋体" w:cs="Times New Roman"/>
                <w:highlight w:val="none"/>
              </w:rPr>
            </w:pPr>
            <w:r>
              <w:rPr>
                <w:rFonts w:ascii="Times New Roman" w:hAnsi="Times New Roman" w:eastAsia="宋体" w:cs="Times New Roman"/>
                <w:highlight w:val="none"/>
              </w:rPr>
              <w:t>(万元)</w:t>
            </w:r>
          </w:p>
        </w:tc>
      </w:tr>
      <w:tr w14:paraId="42D5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44" w:type="pct"/>
            <w:vAlign w:val="center"/>
          </w:tcPr>
          <w:p w14:paraId="1B9CCBCD">
            <w:pPr>
              <w:widowControl w:val="0"/>
              <w:jc w:val="center"/>
              <w:rPr>
                <w:rFonts w:ascii="Times New Roman" w:hAnsi="Times New Roman" w:eastAsia="宋体" w:cs="Times New Roman"/>
                <w:highlight w:val="none"/>
              </w:rPr>
            </w:pPr>
            <w:r>
              <w:rPr>
                <w:rFonts w:ascii="Times New Roman" w:hAnsi="Times New Roman" w:eastAsia="宋体" w:cs="Times New Roman"/>
                <w:highlight w:val="none"/>
              </w:rPr>
              <w:t>1</w:t>
            </w:r>
          </w:p>
        </w:tc>
        <w:tc>
          <w:tcPr>
            <w:tcW w:w="2308" w:type="pct"/>
            <w:vAlign w:val="center"/>
          </w:tcPr>
          <w:p w14:paraId="3F2D4AE1">
            <w:pPr>
              <w:widowControl w:val="0"/>
              <w:jc w:val="center"/>
              <w:rPr>
                <w:rFonts w:ascii="Times New Roman" w:hAnsi="Times New Roman" w:eastAsia="宋体" w:cs="Times New Roman"/>
                <w:highlight w:val="none"/>
              </w:rPr>
            </w:pPr>
            <w:r>
              <w:rPr>
                <w:rFonts w:hint="eastAsia" w:ascii="Times New Roman" w:hAnsi="Times New Roman" w:eastAsia="宋体" w:cs="Times New Roman"/>
                <w:highlight w:val="none"/>
              </w:rPr>
              <w:t>雄安新区政府采购管理及交易系统运维采购项目</w:t>
            </w:r>
          </w:p>
        </w:tc>
        <w:tc>
          <w:tcPr>
            <w:tcW w:w="500" w:type="pct"/>
            <w:vAlign w:val="center"/>
          </w:tcPr>
          <w:p w14:paraId="4222B99C">
            <w:pPr>
              <w:widowControl w:val="0"/>
              <w:jc w:val="center"/>
              <w:rPr>
                <w:rFonts w:ascii="Times New Roman" w:hAnsi="Times New Roman" w:eastAsia="宋体" w:cs="Times New Roman"/>
                <w:highlight w:val="none"/>
              </w:rPr>
            </w:pPr>
            <w:r>
              <w:rPr>
                <w:rFonts w:ascii="Times New Roman" w:hAnsi="Times New Roman" w:eastAsia="宋体" w:cs="Times New Roman"/>
                <w:highlight w:val="none"/>
              </w:rPr>
              <w:t>1</w:t>
            </w:r>
          </w:p>
        </w:tc>
        <w:tc>
          <w:tcPr>
            <w:tcW w:w="416" w:type="pct"/>
            <w:vAlign w:val="center"/>
          </w:tcPr>
          <w:p w14:paraId="23B3C117">
            <w:pPr>
              <w:widowControl w:val="0"/>
              <w:jc w:val="center"/>
              <w:rPr>
                <w:rFonts w:ascii="Times New Roman" w:hAnsi="Times New Roman" w:eastAsia="宋体" w:cs="Times New Roman"/>
                <w:highlight w:val="none"/>
              </w:rPr>
            </w:pPr>
            <w:r>
              <w:rPr>
                <w:rFonts w:ascii="Times New Roman" w:hAnsi="Times New Roman" w:eastAsia="宋体" w:cs="Times New Roman"/>
                <w:highlight w:val="none"/>
              </w:rPr>
              <w:t>年</w:t>
            </w:r>
          </w:p>
        </w:tc>
        <w:tc>
          <w:tcPr>
            <w:tcW w:w="669" w:type="pct"/>
            <w:vAlign w:val="center"/>
          </w:tcPr>
          <w:p w14:paraId="00D7397E">
            <w:pPr>
              <w:widowControl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103</w:t>
            </w:r>
          </w:p>
        </w:tc>
        <w:tc>
          <w:tcPr>
            <w:tcW w:w="663" w:type="pct"/>
            <w:vAlign w:val="center"/>
          </w:tcPr>
          <w:p w14:paraId="19BAD5B8">
            <w:pPr>
              <w:widowControl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103</w:t>
            </w:r>
          </w:p>
        </w:tc>
      </w:tr>
    </w:tbl>
    <w:p w14:paraId="1EC68585">
      <w:pPr>
        <w:spacing w:before="120" w:beforeLines="50" w:line="360" w:lineRule="auto"/>
        <w:rPr>
          <w:rFonts w:ascii="Times New Roman" w:hAnsi="Times New Roman" w:eastAsia="宋体" w:cs="Times New Roman"/>
          <w:b/>
          <w:bCs/>
          <w:sz w:val="24"/>
          <w:highlight w:val="none"/>
        </w:rPr>
      </w:pPr>
      <w:bookmarkStart w:id="0" w:name="jsxq_xq_1"/>
      <w:bookmarkEnd w:id="0"/>
      <w:bookmarkStart w:id="1" w:name="技术需求"/>
      <w:bookmarkEnd w:id="1"/>
      <w:r>
        <w:rPr>
          <w:rFonts w:ascii="Times New Roman" w:hAnsi="Times New Roman" w:eastAsia="宋体" w:cs="Times New Roman"/>
          <w:b/>
          <w:bCs/>
          <w:sz w:val="24"/>
          <w:highlight w:val="none"/>
        </w:rPr>
        <w:t>二、 政采云平台的相关功能要求</w:t>
      </w:r>
    </w:p>
    <w:p w14:paraId="24E67614">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雄安新区政府采购信息化建设基于雄安新区政务云的政府采购云平台(以下简称政采云平台)。政采云平台建设由财政定需求（规则），由政采云公司提供运维服务。平台系统按照“共建、共用、共享”的原则，统一建设、集中运营和管理；业务应用系统统一开发建设，按预算隶属关系和职责权限实行分级授权管理。通过重新梳理和统一采购交易规则和相关标准，对各类用户和资源进行汇聚、整合管理。</w:t>
      </w:r>
    </w:p>
    <w:p w14:paraId="653999A9">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政采云平台应以互联网为基础，充分运用云计算、大数据、移动互联技术，以政府采购电子化交易和管理为重点，涉及政府采购各领域、全流程、多用户的政府采购网上交易、监管和服务平台，具体应包括电子卖场（包括经采购监管部门组织公开招标或公开征集确定入围的供应商，对其所提供产品、服务等相关信息在网上进行维护，采购人在规定的品目范围内履行网上采购程序，适用于小额高频货物类采购的网上超市及适用于小额高频服务类的采购的</w:t>
      </w:r>
      <w:r>
        <w:rPr>
          <w:rFonts w:hint="eastAsia" w:ascii="Times New Roman" w:hAnsi="Times New Roman" w:eastAsia="宋体" w:cs="Times New Roman"/>
          <w:sz w:val="24"/>
          <w:highlight w:val="none"/>
          <w:lang w:eastAsia="zh-CN"/>
        </w:rPr>
        <w:t>服务市场</w:t>
      </w:r>
      <w:r>
        <w:rPr>
          <w:rFonts w:ascii="Times New Roman" w:hAnsi="Times New Roman" w:eastAsia="宋体" w:cs="Times New Roman"/>
          <w:sz w:val="24"/>
          <w:highlight w:val="none"/>
        </w:rPr>
        <w:t>）、项目电子化采购交易系统（公开招标（具备“双盲评审”功能）、邀请招标、竞争性谈判、竞争性磋商、询价、单一来源</w:t>
      </w:r>
      <w:r>
        <w:rPr>
          <w:rFonts w:hint="eastAsia" w:ascii="Times New Roman" w:hAnsi="Times New Roman" w:eastAsia="宋体" w:cs="Times New Roman"/>
          <w:b w:val="0"/>
          <w:bCs w:val="0"/>
          <w:sz w:val="24"/>
          <w:highlight w:val="none"/>
          <w:lang w:eastAsia="zh-CN"/>
        </w:rPr>
        <w:t>、框架协议、合作创新</w:t>
      </w:r>
      <w:r>
        <w:rPr>
          <w:rFonts w:ascii="Times New Roman" w:hAnsi="Times New Roman" w:eastAsia="宋体" w:cs="Times New Roman"/>
          <w:b w:val="0"/>
          <w:bCs w:val="0"/>
          <w:sz w:val="24"/>
          <w:highlight w:val="none"/>
        </w:rPr>
        <w:t>）、</w:t>
      </w:r>
      <w:r>
        <w:rPr>
          <w:rFonts w:hint="eastAsia" w:ascii="Times New Roman" w:hAnsi="Times New Roman" w:eastAsia="宋体" w:cs="Times New Roman"/>
          <w:b w:val="0"/>
          <w:bCs w:val="0"/>
          <w:sz w:val="24"/>
          <w:highlight w:val="none"/>
          <w:lang w:eastAsia="zh-CN"/>
        </w:rPr>
        <w:t>场地管理系统、电子归档系统、视频会议及存储功能、</w:t>
      </w:r>
      <w:r>
        <w:rPr>
          <w:rFonts w:ascii="Times New Roman" w:hAnsi="Times New Roman" w:eastAsia="宋体" w:cs="Times New Roman"/>
          <w:b w:val="0"/>
          <w:bCs w:val="0"/>
          <w:sz w:val="24"/>
          <w:highlight w:val="none"/>
        </w:rPr>
        <w:t>六库管理系统（监管部门、采购人、供应商、商品、专家、中介代理机构）</w:t>
      </w:r>
      <w:r>
        <w:rPr>
          <w:rFonts w:hint="eastAsia" w:ascii="Times New Roman" w:hAnsi="Times New Roman" w:eastAsia="宋体" w:cs="Times New Roman"/>
          <w:b w:val="0"/>
          <w:bCs w:val="0"/>
          <w:sz w:val="24"/>
          <w:highlight w:val="none"/>
          <w:lang w:eastAsia="zh-CN"/>
        </w:rPr>
        <w:t>、</w:t>
      </w:r>
      <w:r>
        <w:rPr>
          <w:rFonts w:ascii="Times New Roman" w:hAnsi="Times New Roman" w:eastAsia="宋体" w:cs="Times New Roman"/>
          <w:b w:val="0"/>
          <w:bCs w:val="0"/>
          <w:kern w:val="2"/>
          <w:sz w:val="24"/>
          <w:highlight w:val="none"/>
          <w:lang w:bidi="en-US"/>
        </w:rPr>
        <w:t>履</w:t>
      </w:r>
      <w:r>
        <w:rPr>
          <w:rFonts w:ascii="Times New Roman" w:hAnsi="Times New Roman" w:eastAsia="宋体" w:cs="Times New Roman"/>
          <w:bCs/>
          <w:kern w:val="2"/>
          <w:sz w:val="24"/>
          <w:highlight w:val="none"/>
          <w:lang w:bidi="en-US"/>
        </w:rPr>
        <w:t>约管理（区块链支付）、金融中心</w:t>
      </w:r>
      <w:r>
        <w:rPr>
          <w:rFonts w:ascii="Times New Roman" w:hAnsi="Times New Roman" w:eastAsia="宋体" w:cs="Times New Roman"/>
          <w:sz w:val="24"/>
          <w:highlight w:val="none"/>
        </w:rPr>
        <w:t>及相配套的预警监控、诚信评价等监管系统。</w:t>
      </w:r>
    </w:p>
    <w:p w14:paraId="0CEEE1FB">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（一）政采云平台应具备的基础功能模块要求</w:t>
      </w:r>
    </w:p>
    <w:p w14:paraId="3DEA0DC6">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数据资源中心、用户中心、权限中心等为各应用系统的基础组成部分，通过整套后台搭建的一体化解决方案促进各业务系统的整合。</w:t>
      </w:r>
    </w:p>
    <w:p w14:paraId="79F01D18">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1.数据资源中心</w:t>
      </w:r>
    </w:p>
    <w:p w14:paraId="3775FB3D">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遵循“统一标准、分级管理、多点受理、授权审查”的原则建设监管机构库、采购人库、供应商库、专家库、代理机构库，实现供应商、专家和代理机构等各类主体的在线登记功能，各相关主体在全省任何一地登记入库，其登记信息和主体资格在全省范围内有效。</w:t>
      </w:r>
    </w:p>
    <w:p w14:paraId="04306E4C">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（1）供应商库</w:t>
      </w:r>
    </w:p>
    <w:p w14:paraId="0B746E8F">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供应商可在平台进行信息登记，成功入库并全网共享。具有相关行业资质的供应商可参与平台各类项目；供应商参与的项目，在平台记录全网公开、全网共享，并可对其参与过程、履约过程进行相应的评价。</w:t>
      </w:r>
    </w:p>
    <w:p w14:paraId="6A4EA1A1">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（2）商品库</w:t>
      </w:r>
    </w:p>
    <w:p w14:paraId="5992B2D8">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供应商可发布商品关联协议，有关职能单位审核协议后完成商品上架生效，其他区划可关联引用协议实现其他区划的商品上架。政采云平台可接受新区财政授权直接审核上架。通过建立长效的商品巡查机制和建立标准商品体系实现对网内商品和市场商品可比、可查、可监管。</w:t>
      </w:r>
    </w:p>
    <w:p w14:paraId="16E47637">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（3）代理机构库</w:t>
      </w:r>
    </w:p>
    <w:p w14:paraId="3FD6A44A">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代理机构平台登记入库后对其业绩、评标场地、专职人员进行管理，其中专职人员管理与业绩终身挂钩，经过当地新区财政监督管理，审核入库参与的项目均在平台记录，并可对其参与过程、履约过程进行相应的评价。代理机构的业绩全网公开、共享。</w:t>
      </w:r>
    </w:p>
    <w:p w14:paraId="267FE06A">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（4）专家库</w:t>
      </w:r>
    </w:p>
    <w:p w14:paraId="19032D39">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配合雄安新区财政监管部门的工作要求，</w:t>
      </w:r>
      <w:r>
        <w:rPr>
          <w:rFonts w:hint="eastAsia" w:ascii="Times New Roman" w:hAnsi="Times New Roman" w:eastAsia="宋体" w:cs="Times New Roman"/>
          <w:sz w:val="24"/>
          <w:highlight w:val="none"/>
          <w:lang w:eastAsia="zh-CN"/>
        </w:rPr>
        <w:t>通过</w:t>
      </w:r>
      <w:r>
        <w:rPr>
          <w:rFonts w:ascii="Times New Roman" w:hAnsi="Times New Roman" w:eastAsia="宋体" w:cs="Times New Roman"/>
          <w:sz w:val="24"/>
          <w:highlight w:val="none"/>
        </w:rPr>
        <w:t>与河北省专家库系统</w:t>
      </w:r>
      <w:r>
        <w:rPr>
          <w:rFonts w:hint="eastAsia" w:ascii="Times New Roman" w:hAnsi="Times New Roman" w:eastAsia="宋体" w:cs="Times New Roman"/>
          <w:sz w:val="24"/>
          <w:highlight w:val="none"/>
          <w:lang w:eastAsia="zh-CN"/>
        </w:rPr>
        <w:t>的</w:t>
      </w:r>
      <w:r>
        <w:rPr>
          <w:rFonts w:ascii="Times New Roman" w:hAnsi="Times New Roman" w:eastAsia="宋体" w:cs="Times New Roman"/>
          <w:sz w:val="24"/>
          <w:highlight w:val="none"/>
        </w:rPr>
        <w:t>对接，实现专家抽取、通知、回避、请假、补录、补抽等功能。</w:t>
      </w:r>
    </w:p>
    <w:p w14:paraId="54D83437">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2.用户中心</w:t>
      </w:r>
    </w:p>
    <w:p w14:paraId="4021D3B0">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用户中心作为用户业务管理的核心平台，是用户基础的登录、管理、应用的平台，可对用户和组织机构进行分类管理，包括用户维护和权限控制等。用户中心的设计要求包括但不限于可用架构设计、加解密设计、基于token的多平台身份认证架构设计、统一用户管理系统等。</w:t>
      </w:r>
    </w:p>
    <w:p w14:paraId="1CB54E1E">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3.权限中心</w:t>
      </w:r>
    </w:p>
    <w:p w14:paraId="15156E90">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权限中心分为功能权限配置、数据权限配置、组织管理等三方面，主要作用为配置用户平台的使用权限。</w:t>
      </w:r>
    </w:p>
    <w:p w14:paraId="183EF590">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（1）功能权限配置</w:t>
      </w:r>
    </w:p>
    <w:p w14:paraId="28D45ECC">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功能权限应按区划-机构-部门-职务逻辑层层限制权限范围后，最终配置至终端人员。权限配置时，可按应用-模块-菜单-功能的树结构进行展示，并可通过勾选方式配置权限，方便用户理解配置的功能权限。</w:t>
      </w:r>
    </w:p>
    <w:p w14:paraId="7F90EE5B">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（2）数据权限配置</w:t>
      </w:r>
    </w:p>
    <w:p w14:paraId="1E204852">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数据权限可按区划、机构、机构类别、部门、岗位、数据属性分类，不同的用户可查看的数据范围不同，在数据权限中进行配置。</w:t>
      </w:r>
    </w:p>
    <w:p w14:paraId="23A14C36">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（3）组织管理功能</w:t>
      </w:r>
    </w:p>
    <w:p w14:paraId="519218FE">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区划、机构、用户配置权限时，在添加区划、机构、用户后，可使用组织管理进行组织架构添加。</w:t>
      </w:r>
    </w:p>
    <w:p w14:paraId="48F78CAF">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平台需实现新增区划开通后，能自动生成区划管理员账号，区划管理员完成平台身份认证后即可自动激活区划功能。</w:t>
      </w:r>
    </w:p>
    <w:p w14:paraId="3E1ED06A">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管理员添加机构功能，需实现单个机构信息添加，也可通过一次性批量导入添加。导入机构时在填写机构属性后，导入后即可自动生成各个机构管理员账号及初始密码，并根据区划开通的权限和机构属性自动赋予各机构权限。</w:t>
      </w:r>
    </w:p>
    <w:p w14:paraId="160E8621">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新增机构的组织架构，需实现在页面直接添加部门、岗位或人员，添加完成后自动生成账号和初始密码并发送短信和邮件通知账号用户。</w:t>
      </w:r>
    </w:p>
    <w:p w14:paraId="48A3EEA1">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（二）政采云平台应具备的交易功能模块要求</w:t>
      </w:r>
    </w:p>
    <w:p w14:paraId="4D9B95BA">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根据财政部提出的“过程导向”转向“结果导向”的政府采购改革思路，同时结合雄安新区政府采购信息化工作经验，及新区财政提出的开发完善需求，实施电子卖场（包括经采购监管部门组织公开招标或公开征集确定入围的供应商，对其所提供产品、服务等相关信息在网上进行维护，采购人在规定的品目范围内履行网上采购程序，适用于小额高频货物类采购的网上超市及适用于小额高频服务类的采购的</w:t>
      </w:r>
      <w:r>
        <w:rPr>
          <w:rFonts w:hint="eastAsia" w:ascii="Times New Roman" w:hAnsi="Times New Roman" w:eastAsia="宋体" w:cs="Times New Roman"/>
          <w:sz w:val="24"/>
          <w:highlight w:val="none"/>
          <w:lang w:eastAsia="zh-CN"/>
        </w:rPr>
        <w:t>服务市场</w:t>
      </w:r>
      <w:r>
        <w:rPr>
          <w:rFonts w:ascii="Times New Roman" w:hAnsi="Times New Roman" w:eastAsia="宋体" w:cs="Times New Roman"/>
          <w:sz w:val="24"/>
          <w:highlight w:val="none"/>
        </w:rPr>
        <w:t>）、项目电子采购交易系统，以达到简化采购流程、保障信息公开、强化采购监督的效果。通过交易流程的创新和信息化改造，方便各交易主体，节约采购成本，提升采购的经济和社会效益。</w:t>
      </w:r>
    </w:p>
    <w:p w14:paraId="341EBFCE">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1.网上超市</w:t>
      </w:r>
    </w:p>
    <w:p w14:paraId="5E9558AD">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适用于采购限额以下的零星采购或经新区财政批准纳入网上超市采购的通用标准货物。丰富的供应商资源，完整的商品类目，百万级商品数量，逐步实现在不高于政采云指数价格的前提下，择优准入上架。</w:t>
      </w:r>
    </w:p>
    <w:p w14:paraId="7A90AD50">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采购单位可通过政采云平台网上超市系统，比对商品的性能、价格，并可直接订购下单，享受电商采购的便利。网上超市主要功能包括不限于商品展现、采购计划关联、需求汇总、采购审批、订单执行、结算、监管审批、流程定制等。</w:t>
      </w:r>
    </w:p>
    <w:p w14:paraId="2B748688">
      <w:pPr>
        <w:snapToGrid w:val="0"/>
        <w:spacing w:line="540" w:lineRule="exact"/>
        <w:ind w:firstLine="480" w:firstLineChars="200"/>
        <w:rPr>
          <w:rFonts w:hint="eastAsia" w:ascii="Times New Roman" w:hAnsi="Times New Roman" w:eastAsia="宋体" w:cs="Times New Roman"/>
          <w:sz w:val="24"/>
          <w:highlight w:val="none"/>
          <w:lang w:eastAsia="zh-CN"/>
        </w:rPr>
      </w:pPr>
      <w:r>
        <w:rPr>
          <w:rFonts w:ascii="Times New Roman" w:hAnsi="Times New Roman" w:eastAsia="宋体" w:cs="Times New Roman"/>
          <w:sz w:val="24"/>
          <w:highlight w:val="none"/>
        </w:rPr>
        <w:t>2.</w:t>
      </w:r>
      <w:r>
        <w:rPr>
          <w:rFonts w:hint="eastAsia" w:ascii="Times New Roman" w:hAnsi="Times New Roman" w:eastAsia="宋体" w:cs="Times New Roman"/>
          <w:sz w:val="24"/>
          <w:highlight w:val="none"/>
          <w:lang w:eastAsia="zh-CN"/>
        </w:rPr>
        <w:t>服务市场</w:t>
      </w:r>
    </w:p>
    <w:p w14:paraId="004E3DA1">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政府采购的</w:t>
      </w:r>
      <w:r>
        <w:rPr>
          <w:rFonts w:hint="eastAsia" w:ascii="Times New Roman" w:hAnsi="Times New Roman" w:eastAsia="宋体" w:cs="Times New Roman"/>
          <w:sz w:val="24"/>
          <w:highlight w:val="none"/>
          <w:lang w:eastAsia="zh-CN"/>
        </w:rPr>
        <w:t>服务市场</w:t>
      </w:r>
      <w:r>
        <w:rPr>
          <w:rFonts w:ascii="Times New Roman" w:hAnsi="Times New Roman" w:eastAsia="宋体" w:cs="Times New Roman"/>
          <w:sz w:val="24"/>
          <w:highlight w:val="none"/>
        </w:rPr>
        <w:t>指采购单位采购服务类采购项目，包括会议服务、加油服务、印刷服务、会计审计服务、车辆维修保险服务等服务项目，其入围结果由各地有关单位按招标采购流程征集入围。</w:t>
      </w:r>
    </w:p>
    <w:p w14:paraId="5E96E44A">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3.项目电子化采购</w:t>
      </w:r>
    </w:p>
    <w:p w14:paraId="42518071">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根据政府采购计划，对公开招标、邀请招标、竞争性谈判、竞争性磋商、单一来源采购、询价采购等采购方式，并支持公开招标“双盲评审”功能，通过委托采购代理机构或自行组织实施，融入现代信息技术，推行电子招标投标、电子评标等新兴辅助手段，自动记录相关信息并生成规范文档，利用电子签章等技术，实现从项目委托、项目公告、网上投标、在线评审、合同备案、履约验收等政府采购项目全流程电子化、无纸化操作，实现全流程采购文件及相关资料电子归档，促进其实现规范和效率双提升。</w:t>
      </w:r>
    </w:p>
    <w:p w14:paraId="340CCF43">
      <w:pPr>
        <w:snapToGrid w:val="0"/>
        <w:spacing w:line="540" w:lineRule="exact"/>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4.</w:t>
      </w:r>
      <w:r>
        <w:rPr>
          <w:rFonts w:hint="eastAsia" w:ascii="Times New Roman" w:hAnsi="Times New Roman" w:eastAsia="宋体" w:cs="Times New Roman"/>
          <w:sz w:val="24"/>
          <w:highlight w:val="none"/>
        </w:rPr>
        <w:t>框架协议</w:t>
      </w:r>
    </w:p>
    <w:p w14:paraId="31F181BF">
      <w:pPr>
        <w:snapToGrid w:val="0"/>
        <w:spacing w:line="540" w:lineRule="exact"/>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根据《政府采购框架协议采购方式管理暂行办法》（财政部令第110号）要求，部署框架协议功能模块。支持多频次、小额度采购需求，简化采购流程，提高采购效率。实现框架协议采购的电子化操作，满足雄安新区政府采购业务的实际需求。</w:t>
      </w:r>
    </w:p>
    <w:p w14:paraId="3C0042A0">
      <w:pPr>
        <w:snapToGrid w:val="0"/>
        <w:spacing w:line="540" w:lineRule="exact"/>
        <w:ind w:firstLine="480" w:firstLineChars="200"/>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5. 场地管理</w:t>
      </w:r>
      <w:r>
        <w:rPr>
          <w:rFonts w:hint="eastAsia" w:ascii="Times New Roman" w:hAnsi="Times New Roman" w:eastAsia="宋体" w:cs="Times New Roman"/>
          <w:sz w:val="24"/>
          <w:highlight w:val="none"/>
          <w:lang w:eastAsia="zh-CN"/>
        </w:rPr>
        <w:t>系统服务</w:t>
      </w:r>
    </w:p>
    <w:p w14:paraId="3894383D">
      <w:pPr>
        <w:snapToGrid w:val="0"/>
        <w:spacing w:line="540" w:lineRule="exact"/>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与雄安新区公共资源交易中心摄像头对接，实现实时监控和视频存储，提升监管能力，确保交易过程的透明性和规范性。支持代理机构在线预约</w:t>
      </w:r>
      <w:r>
        <w:rPr>
          <w:rFonts w:hint="eastAsia" w:ascii="Times New Roman" w:hAnsi="Times New Roman" w:eastAsia="宋体" w:cs="Times New Roman"/>
          <w:sz w:val="24"/>
          <w:highlight w:val="none"/>
          <w:lang w:eastAsia="zh-CN"/>
        </w:rPr>
        <w:t>雄安新区公共资源交易中心</w:t>
      </w:r>
      <w:r>
        <w:rPr>
          <w:rFonts w:hint="eastAsia" w:ascii="Times New Roman" w:hAnsi="Times New Roman" w:eastAsia="宋体" w:cs="Times New Roman"/>
          <w:sz w:val="24"/>
          <w:highlight w:val="none"/>
        </w:rPr>
        <w:t>场地，提交进场所需材料。实现场地资源的合理分配，避免资源浪费和冲突。提供全流程电子化操作，提高工作效率和透明度。</w:t>
      </w:r>
    </w:p>
    <w:p w14:paraId="2DA5334F">
      <w:pPr>
        <w:snapToGrid w:val="0"/>
        <w:spacing w:line="540" w:lineRule="exact"/>
        <w:ind w:firstLine="480" w:firstLineChars="200"/>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6. 电子归档</w:t>
      </w:r>
      <w:r>
        <w:rPr>
          <w:rFonts w:hint="eastAsia" w:ascii="Times New Roman" w:hAnsi="Times New Roman" w:eastAsia="宋体" w:cs="Times New Roman"/>
          <w:sz w:val="24"/>
          <w:highlight w:val="none"/>
          <w:lang w:eastAsia="zh-CN"/>
        </w:rPr>
        <w:t>系统服务</w:t>
      </w:r>
    </w:p>
    <w:p w14:paraId="5D6841BF">
      <w:pPr>
        <w:snapToGrid w:val="0"/>
        <w:spacing w:line="540" w:lineRule="exact"/>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能够自动将</w:t>
      </w:r>
      <w:r>
        <w:rPr>
          <w:rFonts w:hint="eastAsia" w:ascii="Times New Roman" w:hAnsi="Times New Roman" w:eastAsia="宋体" w:cs="Times New Roman"/>
          <w:sz w:val="24"/>
          <w:highlight w:val="none"/>
          <w:lang w:eastAsia="zh-CN"/>
        </w:rPr>
        <w:t>雄安新区本级政府采购项目</w:t>
      </w:r>
      <w:r>
        <w:rPr>
          <w:rFonts w:hint="eastAsia" w:ascii="Times New Roman" w:hAnsi="Times New Roman" w:eastAsia="宋体" w:cs="Times New Roman"/>
          <w:sz w:val="24"/>
          <w:highlight w:val="none"/>
        </w:rPr>
        <w:t>采购过程中产生的各类文档、合同、音视频等档案材料进行统一归档，并存储在服务器上。</w:t>
      </w:r>
    </w:p>
    <w:p w14:paraId="2A94661F">
      <w:pPr>
        <w:snapToGrid w:val="0"/>
        <w:spacing w:line="540" w:lineRule="exact"/>
        <w:ind w:firstLine="480" w:firstLineChars="200"/>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 xml:space="preserve">7. </w:t>
      </w:r>
      <w:r>
        <w:rPr>
          <w:rFonts w:hint="eastAsia" w:ascii="Times New Roman" w:hAnsi="Times New Roman" w:eastAsia="宋体" w:cs="Times New Roman"/>
          <w:sz w:val="24"/>
          <w:highlight w:val="none"/>
          <w:lang w:eastAsia="zh-CN"/>
        </w:rPr>
        <w:t>视频会议及存储功能</w:t>
      </w:r>
    </w:p>
    <w:p w14:paraId="2DE1A9D4">
      <w:pPr>
        <w:snapToGrid w:val="0"/>
        <w:spacing w:line="540" w:lineRule="exact"/>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提供</w:t>
      </w:r>
      <w:r>
        <w:rPr>
          <w:rFonts w:hint="eastAsia" w:ascii="Times New Roman" w:hAnsi="Times New Roman" w:eastAsia="宋体" w:cs="Times New Roman"/>
          <w:sz w:val="24"/>
          <w:highlight w:val="none"/>
          <w:lang w:eastAsia="zh-CN"/>
        </w:rPr>
        <w:t>视频会议及存储功能</w:t>
      </w:r>
      <w:r>
        <w:rPr>
          <w:rFonts w:hint="eastAsia" w:ascii="Times New Roman" w:hAnsi="Times New Roman" w:eastAsia="宋体" w:cs="Times New Roman"/>
          <w:sz w:val="24"/>
          <w:highlight w:val="none"/>
        </w:rPr>
        <w:t>，支持专家之间的线上沟通</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评标全过程的“遮脸变声隐藏姓名”</w:t>
      </w:r>
      <w:r>
        <w:rPr>
          <w:rFonts w:hint="eastAsia" w:ascii="Times New Roman" w:hAnsi="Times New Roman" w:eastAsia="宋体" w:cs="Times New Roman"/>
          <w:sz w:val="24"/>
          <w:highlight w:val="none"/>
          <w:lang w:eastAsia="zh-CN"/>
        </w:rPr>
        <w:t>、会议过程录屏存储，进一步</w:t>
      </w:r>
      <w:r>
        <w:rPr>
          <w:rFonts w:hint="eastAsia" w:ascii="Times New Roman" w:hAnsi="Times New Roman" w:eastAsia="宋体" w:cs="Times New Roman"/>
          <w:sz w:val="24"/>
          <w:highlight w:val="none"/>
        </w:rPr>
        <w:t>满足河北省双盲评审要求。</w:t>
      </w:r>
    </w:p>
    <w:p w14:paraId="024C7B21">
      <w:pPr>
        <w:snapToGrid w:val="0"/>
        <w:spacing w:line="540" w:lineRule="exact"/>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8. 驻点人员服务</w:t>
      </w:r>
    </w:p>
    <w:p w14:paraId="0731807C">
      <w:pPr>
        <w:snapToGrid w:val="0"/>
        <w:spacing w:line="540" w:lineRule="exact"/>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在雄安当地提供2名驻点人员，一名在雄安新区财政</w:t>
      </w:r>
      <w:r>
        <w:rPr>
          <w:rFonts w:hint="eastAsia" w:ascii="Times New Roman" w:hAnsi="Times New Roman" w:eastAsia="宋体" w:cs="Times New Roman"/>
          <w:sz w:val="24"/>
          <w:highlight w:val="none"/>
          <w:lang w:eastAsia="zh-CN"/>
        </w:rPr>
        <w:t>局</w:t>
      </w:r>
      <w:r>
        <w:rPr>
          <w:rFonts w:hint="eastAsia" w:ascii="Times New Roman" w:hAnsi="Times New Roman" w:eastAsia="宋体" w:cs="Times New Roman"/>
          <w:sz w:val="24"/>
          <w:highlight w:val="none"/>
        </w:rPr>
        <w:t>驻点，负责财政相关的工作，另一名在新区及三县交易中心流动驻点，负责开评标的现场保障工作，提供技术支撑。</w:t>
      </w:r>
    </w:p>
    <w:p w14:paraId="657162DB">
      <w:pPr>
        <w:snapToGrid w:val="0"/>
        <w:spacing w:line="540" w:lineRule="exact"/>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9. 合作创新采购方式</w:t>
      </w:r>
    </w:p>
    <w:p w14:paraId="13DEDEDE">
      <w:pPr>
        <w:snapToGrid w:val="0"/>
        <w:spacing w:line="540" w:lineRule="exact"/>
        <w:ind w:firstLine="480" w:firstLineChars="200"/>
        <w:rPr>
          <w:rFonts w:hint="default" w:eastAsia="宋体"/>
          <w:highlight w:val="none"/>
          <w:lang w:val="en-US" w:eastAsia="zh-CN"/>
        </w:rPr>
      </w:pPr>
      <w:r>
        <w:rPr>
          <w:rFonts w:hint="eastAsia" w:ascii="Times New Roman" w:hAnsi="Times New Roman" w:eastAsia="宋体" w:cs="Times New Roman"/>
          <w:sz w:val="24"/>
          <w:highlight w:val="none"/>
        </w:rPr>
        <w:t>满足财政部于2024年04月24日发布了关于印发《政府采购合作创新采购方式管理暂行办法》的要求，实现采购人邀请供应商合作研发，共担研发风险，并按研发合同约定的数量或者金额购买研发成功的创新产品的采购方式。符合全流程电子化、流程合规、信息字段完整的要求。</w:t>
      </w:r>
    </w:p>
    <w:p w14:paraId="7688BC87">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4.采购执行管理功能</w:t>
      </w:r>
    </w:p>
    <w:p w14:paraId="5513986E">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（1）采购计划</w:t>
      </w:r>
    </w:p>
    <w:p w14:paraId="2003C923">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平台与各区划财政预算管理系统进行对接</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支持手工导入功能，实时将本年度的政府采购计划同步到政采云平台执行采购。</w:t>
      </w:r>
    </w:p>
    <w:p w14:paraId="6ED07153">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（2）公告管理</w:t>
      </w:r>
    </w:p>
    <w:p w14:paraId="328DA3B7">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 xml:space="preserve"> 根据新区财政要求，采购公告模板化管理，模板内各输入项目需提供正确性校验。同时不同输入项之间能定义约束规则。平台提供文档编辑工具，可对自动生成的公告进行多次修改。</w:t>
      </w:r>
    </w:p>
    <w:p w14:paraId="2B35FC39">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（3）合同管理</w:t>
      </w:r>
    </w:p>
    <w:p w14:paraId="665E2245">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根据采购项目的组织形式不同，能够实现对采购执行平台中上传的合同、监管平台直接录入的合同进行分类管理。</w:t>
      </w:r>
    </w:p>
    <w:p w14:paraId="3096EF3F">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（4）备案支付</w:t>
      </w:r>
    </w:p>
    <w:p w14:paraId="2F2F1F95">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对于已实现采购监管平台与财政支付系统对接的区域，则合同备案审批通过后，系统将通过数据交换平台自动发送财政支付申请和合同数据到财政支付系统中；对于未实现支付系统对接的区域，采购单位可打印《政府采购合同付款通知单》提交部门财务申请资金支付。</w:t>
      </w:r>
    </w:p>
    <w:p w14:paraId="3FE2DACA">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5.区块链支付+金融产品功能</w:t>
      </w:r>
    </w:p>
    <w:p w14:paraId="04A7360D">
      <w:pPr>
        <w:snapToGrid w:val="0"/>
        <w:spacing w:line="540" w:lineRule="exact"/>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区块链支</w:t>
      </w:r>
      <w:r>
        <w:rPr>
          <w:rFonts w:ascii="Times New Roman" w:hAnsi="Times New Roman" w:eastAsia="宋体" w:cs="Times New Roman"/>
          <w:sz w:val="24"/>
          <w:highlight w:val="none"/>
        </w:rPr>
        <w:t>付+金融产品需要包括合同履约功能、区块链账户支付功能、区块链数字人民币支付功能及政府采购金融服务功能，对雄安新区的政府采购合同履约、评级及支付做好在线管理，并通过政府采购合同开展普惠金融服务。</w:t>
      </w:r>
    </w:p>
    <w:p w14:paraId="6DA40C4E">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（三）政采云平台应具备的监管功能要求</w:t>
      </w:r>
    </w:p>
    <w:p w14:paraId="44BAD6F2">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1.诚信评价</w:t>
      </w:r>
    </w:p>
    <w:p w14:paraId="414760AA">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政采云平台应按照新区财政要求，建设新区统一的诚信评价体系，实现供应商、专家库和代理机构的诚信评价，并根据法规和管理需要实现诚信信息的全区共享和全国共享，</w:t>
      </w:r>
      <w:r>
        <w:rPr>
          <w:rFonts w:hint="eastAsia" w:ascii="Times New Roman" w:hAnsi="Times New Roman" w:eastAsia="宋体" w:cs="Times New Roman"/>
          <w:sz w:val="24"/>
          <w:highlight w:val="none"/>
          <w:lang w:eastAsia="zh-CN"/>
        </w:rPr>
        <w:t>通过</w:t>
      </w:r>
      <w:r>
        <w:rPr>
          <w:rFonts w:ascii="Times New Roman" w:hAnsi="Times New Roman" w:eastAsia="宋体" w:cs="Times New Roman"/>
          <w:sz w:val="24"/>
          <w:highlight w:val="none"/>
        </w:rPr>
        <w:t>与信用中国数据对接，积极推动全国政府采购诚信体系建设。</w:t>
      </w:r>
    </w:p>
    <w:p w14:paraId="453F9A2C">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2.数据统计</w:t>
      </w:r>
    </w:p>
    <w:p w14:paraId="24C556A0">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（1）查询统计</w:t>
      </w:r>
    </w:p>
    <w:p w14:paraId="4C95E63D">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按照新区财政要求，为政府采购工作提供灵活、高效的数据统计功能，并能将统计结果以多种格式展现和导出，包括但不限于业务数据查询、查询结果导出等。</w:t>
      </w:r>
    </w:p>
    <w:p w14:paraId="7818DF82">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（2）财政部报表</w:t>
      </w:r>
    </w:p>
    <w:p w14:paraId="3DFAACC3">
      <w:pPr>
        <w:snapToGrid w:val="0"/>
        <w:spacing w:line="540" w:lineRule="exact"/>
        <w:ind w:firstLine="480" w:firstLineChars="200"/>
        <w:jc w:val="both"/>
        <w:rPr>
          <w:rFonts w:ascii="Times New Roman" w:hAnsi="Times New Roman" w:eastAsia="宋体" w:cs="Times New Roman"/>
          <w:sz w:val="24"/>
          <w:highlight w:val="none"/>
        </w:rPr>
      </w:pPr>
      <w:r>
        <w:rPr>
          <w:rFonts w:ascii="Times New Roman" w:hAnsi="Times New Roman" w:eastAsia="宋体" w:cs="Times New Roman"/>
          <w:sz w:val="24"/>
          <w:highlight w:val="none"/>
        </w:rPr>
        <w:t>政采云平台按照财政部政府采购基础数据上报要求生成政府采购基础数据源；政采云平台需提供工程合同备案模块，采购单位备案工程项目采购合同即可完成财政部基础数据源的完整统一。</w:t>
      </w:r>
    </w:p>
    <w:p w14:paraId="6BE0CFA9">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（3）决策分析</w:t>
      </w:r>
    </w:p>
    <w:p w14:paraId="7B8F1A3E">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决策支持管理分为四个部分：综合分析、排序对比、绩效评价、趋势分析。</w:t>
      </w:r>
    </w:p>
    <w:p w14:paraId="127AC8BA">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通过对系统各类资源进行全方位的挖掘利用，对政府采购活动的领导决策提供科学的、客观的数据支持。</w:t>
      </w:r>
    </w:p>
    <w:p w14:paraId="04733C17">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针对采购活动，动态制作报表，并生成统计报表数据，供领导查询，系统应提供多种展现形式。</w:t>
      </w:r>
    </w:p>
    <w:p w14:paraId="65D1E0CA">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3.政采云价格指数及价格巡查</w:t>
      </w:r>
    </w:p>
    <w:p w14:paraId="755C933F">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政采云平台运用大数据分析技术，实现与主流电商平台、平台自身成交数据的比对分析，形成政采云价格指数，逐步建立标准化的商品类目、属性和价格体系，显示全网最低报价、平均成交价等，并逐步解决网超部分上架产品价格高于其他主流电商平台的问题，确保财政资金花得其所、用得值当。</w:t>
      </w:r>
    </w:p>
    <w:p w14:paraId="1226F10A">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4.采购分析报告</w:t>
      </w:r>
    </w:p>
    <w:p w14:paraId="4434C1B1">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发挥平台大数据分析优势，按年出具政府采购规模、价格、质量、效率等情况的分析报告。</w:t>
      </w:r>
    </w:p>
    <w:p w14:paraId="51D86AFE">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5.智能服务</w:t>
      </w:r>
    </w:p>
    <w:p w14:paraId="79FBD10C">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将投诉建议、热线咨询和在线咨询等问题分发至智能客服机器人、在线客服工作台，对投诉咨询问题进行解答处理，通过统一收集问题入口、智能分发、多渠道智能协同服务提升问题解答效率。</w:t>
      </w:r>
    </w:p>
    <w:p w14:paraId="0949A40D">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（四）政采云平台应遵循的开发技术及架构要求</w:t>
      </w:r>
    </w:p>
    <w:p w14:paraId="031D3E66">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1.研发技术及架构</w:t>
      </w:r>
    </w:p>
    <w:p w14:paraId="6C6D69F5">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应采用主流的开发语言与框架（Java生态圈主流技术），采用“云计算”技术进行开发建设，微服务架构实行分层技术，具体包括基础IaaS层、中间PaaS层、业务SaaS层三层。其中IaaS层为云计算资源基础层，承担资源弹性扩展，大数据实时计算等支撑；PaaS层为融合各类基础数据的公共服务层，提供基础开发工具、集中用户权限控制以及数据沉淀等服务；SaaS层为应用软件层，实现标准和个性化应用功能模块的快速迭代和插拔式管理。</w:t>
      </w:r>
    </w:p>
    <w:p w14:paraId="258BDBC3">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PaaS具体模块包括但不限于：用户中心、权限中心、元数据中心、待办中心、备案中心、应用开发平台、应用运行容器、开放平台、应用市场等基础应用。</w:t>
      </w:r>
    </w:p>
    <w:p w14:paraId="060221DA">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SaaS具体模块包括但不限于：标准商品库、供应商库、专家库等基础数据库，电子卖场、框架协议采购、项目采购等交易管理系统，评价、诚信、预警、视频监控等监管系统。</w:t>
      </w:r>
    </w:p>
    <w:p w14:paraId="096EA7CB">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应具备公共服务平台的开放性质，平台应允许任何符合政府采购资质和准入等要求的供应商、采购代理机构入驻、公平竞争，同时也为新区各级财政及符合平台要求的政府采购单位提供开放的接入接口。应用开发平台可依法依规通过授权准入第三方开发团队进行个性化应用的开发和市场交易。数据开放平台应根据业务授权开放给平台使用单位进行数据交换，与数据开放平台对接的外部应用可以独立部署。</w:t>
      </w:r>
    </w:p>
    <w:p w14:paraId="317043B0">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还应采用公共服务流程模块标准化的设计方式，利用标准模块灵活配置适应和支撑政府采购业务的不断发展；支持多种采购业务流程交易管理模式，实现流程可定制；支持灵活定制统计报表，以适应不断变化的统计分析需求；实现不同用户角色间的权限灵活分配，满足个性化业务管理需求等。</w:t>
      </w:r>
    </w:p>
    <w:p w14:paraId="3491B4A0">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2.技术运维保障</w:t>
      </w:r>
    </w:p>
    <w:p w14:paraId="12BE10EC">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应部署在业界领先的“云计算”基础设施上，包括应用服务器、数据库、负载均衡、存储、CDN（内容分发网络）等。</w:t>
      </w:r>
    </w:p>
    <w:p w14:paraId="71E2FBB1">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应采用成熟稳定的分布式部署架构，包括配置服务、注册服务、调度治理服务、消息中间件、缓存服务、日志服务等，高可用，且在数据、应用与网关层面可弹性扩展。</w:t>
      </w:r>
    </w:p>
    <w:p w14:paraId="7B21289A">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应具备数据容灾能力（包括但不限于增量备份与定期全量备份），并在部署架构上支持整体容灾的可能性。政采云平台应能满足数据分级存储要求，包括分类、分级与存储周期策略。</w:t>
      </w:r>
    </w:p>
    <w:p w14:paraId="10683369">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应具备较高的安全防护能力，包括web应用防火墙，访问控制、可疑进程检测、暴力破解拦截、木马查杀、补丁管理，高防DDOS攻击，攻击检测，站点检测、图片鉴黄及违规文本检测等能力。政采云平台应具备一定的安全审计功能。</w:t>
      </w:r>
    </w:p>
    <w:p w14:paraId="7F061745">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应部署系统、网络及应用层面的监控工具，并提前准备各种类型与级别的应急处理方案，包括系统、网络、应用异常处理及数据容灾恢复方案。</w:t>
      </w:r>
    </w:p>
    <w:p w14:paraId="46716F34">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二、 购买服务合同内容类别、范围及周期</w:t>
      </w:r>
    </w:p>
    <w:p w14:paraId="46987A1B">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为促进政采云平台的深入推广应用及减少行政成本，由</w:t>
      </w:r>
      <w:r>
        <w:rPr>
          <w:rFonts w:hint="eastAsia" w:ascii="Times New Roman" w:hAnsi="Times New Roman" w:eastAsia="宋体" w:cs="Times New Roman"/>
          <w:sz w:val="24"/>
          <w:highlight w:val="none"/>
          <w:lang w:eastAsia="zh-CN"/>
        </w:rPr>
        <w:t>雄安新区财政局</w:t>
      </w:r>
      <w:r>
        <w:rPr>
          <w:rFonts w:ascii="Times New Roman" w:hAnsi="Times New Roman" w:eastAsia="宋体" w:cs="Times New Roman"/>
          <w:sz w:val="24"/>
          <w:highlight w:val="none"/>
        </w:rPr>
        <w:t>统一组织新区本级及三县的平台基本服务内容采购，并由</w:t>
      </w:r>
      <w:r>
        <w:rPr>
          <w:rFonts w:hint="eastAsia" w:ascii="Times New Roman" w:hAnsi="Times New Roman" w:eastAsia="宋体" w:cs="Times New Roman"/>
          <w:sz w:val="24"/>
          <w:highlight w:val="none"/>
          <w:lang w:eastAsia="zh-CN"/>
        </w:rPr>
        <w:t>雄安新区财政局</w:t>
      </w:r>
      <w:r>
        <w:rPr>
          <w:rFonts w:ascii="Times New Roman" w:hAnsi="Times New Roman" w:eastAsia="宋体" w:cs="Times New Roman"/>
          <w:sz w:val="24"/>
          <w:highlight w:val="none"/>
        </w:rPr>
        <w:t>与中标单位签订采购合同。</w:t>
      </w:r>
    </w:p>
    <w:p w14:paraId="359C03BA">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（一）政采云平台服务内容类别</w:t>
      </w:r>
    </w:p>
    <w:p w14:paraId="46DBF620">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1.政采云平台使用服务：政采云平台应具备采购文件所列所有基础服务、交易、监管等功能。包括但不限于，网上超市、</w:t>
      </w:r>
      <w:r>
        <w:rPr>
          <w:rFonts w:hint="eastAsia" w:ascii="Times New Roman" w:hAnsi="Times New Roman" w:eastAsia="宋体" w:cs="Times New Roman"/>
          <w:sz w:val="24"/>
          <w:highlight w:val="none"/>
          <w:lang w:eastAsia="zh-CN"/>
        </w:rPr>
        <w:t>服务市场</w:t>
      </w:r>
      <w:r>
        <w:rPr>
          <w:rFonts w:ascii="Times New Roman" w:hAnsi="Times New Roman" w:eastAsia="宋体" w:cs="Times New Roman"/>
          <w:sz w:val="24"/>
          <w:highlight w:val="none"/>
        </w:rPr>
        <w:t>、项目电子化采购系统（公开招标（具备“双盲评审”功能）、邀请招标、竞争性谈判、竞争性磋商、单一来源、询价</w:t>
      </w:r>
      <w:r>
        <w:rPr>
          <w:rFonts w:hint="eastAsia" w:ascii="Times New Roman" w:hAnsi="Times New Roman" w:eastAsia="宋体" w:cs="Times New Roman"/>
          <w:sz w:val="24"/>
          <w:highlight w:val="none"/>
          <w:lang w:eastAsia="zh-CN"/>
        </w:rPr>
        <w:t>、框架协议、合作创新</w:t>
      </w:r>
      <w:r>
        <w:rPr>
          <w:rFonts w:ascii="Times New Roman" w:hAnsi="Times New Roman" w:eastAsia="宋体" w:cs="Times New Roman"/>
          <w:sz w:val="24"/>
          <w:highlight w:val="none"/>
        </w:rPr>
        <w:t>）、六库管理系统（监管部门、采购人、供应商、商品、专家、中介代理机构）及新区财政要求的数据报表、价格指数、采购分析报告、预警监控、诚信评价等配套的政府采购交易管理服务系统。</w:t>
      </w:r>
    </w:p>
    <w:p w14:paraId="698038CD">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政采云平台运用大数据分析技术，实现与主流电商平台、平台自身成交数据的比对分析，形成政采云价格指数，逐步建立标准化的商品类目、属性和价格体系，显示全网最低报价、平均成交价等，并逐步解决网超部分上架产品价格高于其他主流电商平台的问题。</w:t>
      </w:r>
    </w:p>
    <w:p w14:paraId="1CFC388D">
      <w:pPr>
        <w:snapToGrid w:val="0"/>
        <w:spacing w:line="540" w:lineRule="exact"/>
        <w:ind w:firstLine="480" w:firstLineChars="200"/>
        <w:rPr>
          <w:rFonts w:ascii="Times New Roman" w:hAnsi="Times New Roman" w:eastAsia="宋体" w:cs="Times New Roman"/>
          <w:b w:val="0"/>
          <w:bCs w:val="0"/>
          <w:sz w:val="24"/>
          <w:highlight w:val="none"/>
        </w:rPr>
      </w:pPr>
      <w:r>
        <w:rPr>
          <w:rFonts w:ascii="Times New Roman" w:hAnsi="Times New Roman" w:eastAsia="宋体" w:cs="Times New Roman"/>
          <w:b w:val="0"/>
          <w:bCs w:val="0"/>
          <w:sz w:val="24"/>
          <w:highlight w:val="none"/>
        </w:rPr>
        <w:t>2.运维服务：雄安新区政府采购信息化综合管理平台系统上线部署、数据开放平台接口运营服务（与财政预算、区块链与数字人民币支付系统、公共资源平台、</w:t>
      </w:r>
      <w:r>
        <w:rPr>
          <w:rFonts w:hint="eastAsia" w:ascii="Times New Roman" w:hAnsi="Times New Roman" w:eastAsia="宋体" w:cs="Times New Roman"/>
          <w:b w:val="0"/>
          <w:bCs w:val="0"/>
          <w:sz w:val="24"/>
          <w:highlight w:val="none"/>
          <w:lang w:eastAsia="zh-CN"/>
        </w:rPr>
        <w:t>中国</w:t>
      </w:r>
      <w:r>
        <w:rPr>
          <w:rFonts w:ascii="Times New Roman" w:hAnsi="Times New Roman" w:eastAsia="宋体" w:cs="Times New Roman"/>
          <w:b w:val="0"/>
          <w:bCs w:val="0"/>
          <w:sz w:val="24"/>
          <w:highlight w:val="none"/>
        </w:rPr>
        <w:t>河北省政府采购网、河北省专家库系统的对接支持，</w:t>
      </w:r>
      <w:r>
        <w:rPr>
          <w:rFonts w:hint="eastAsia" w:ascii="Times New Roman" w:hAnsi="Times New Roman" w:eastAsia="宋体" w:cs="Times New Roman"/>
          <w:b w:val="0"/>
          <w:bCs w:val="0"/>
          <w:sz w:val="24"/>
          <w:highlight w:val="none"/>
          <w:lang w:eastAsia="zh-CN"/>
        </w:rPr>
        <w:t>该</w:t>
      </w:r>
      <w:r>
        <w:rPr>
          <w:rFonts w:ascii="Times New Roman" w:hAnsi="Times New Roman" w:eastAsia="宋体" w:cs="Times New Roman"/>
          <w:b w:val="0"/>
          <w:bCs w:val="0"/>
          <w:sz w:val="24"/>
          <w:highlight w:val="none"/>
        </w:rPr>
        <w:t>对接事项强依赖于外部系统的配合支持程度，需</w:t>
      </w:r>
      <w:r>
        <w:rPr>
          <w:rFonts w:hint="eastAsia" w:ascii="Times New Roman" w:hAnsi="Times New Roman" w:eastAsia="宋体" w:cs="Times New Roman"/>
          <w:b w:val="0"/>
          <w:bCs w:val="0"/>
          <w:sz w:val="24"/>
          <w:highlight w:val="none"/>
          <w:lang w:eastAsia="zh-CN"/>
        </w:rPr>
        <w:t>采购人</w:t>
      </w:r>
      <w:r>
        <w:rPr>
          <w:rFonts w:ascii="Times New Roman" w:hAnsi="Times New Roman" w:eastAsia="宋体" w:cs="Times New Roman"/>
          <w:b w:val="0"/>
          <w:bCs w:val="0"/>
          <w:sz w:val="24"/>
          <w:highlight w:val="none"/>
        </w:rPr>
        <w:t>帮助协调外部机构配合对接工作后，</w:t>
      </w:r>
      <w:r>
        <w:rPr>
          <w:rFonts w:hint="eastAsia" w:ascii="Times New Roman" w:hAnsi="Times New Roman" w:eastAsia="宋体" w:cs="Times New Roman"/>
          <w:b w:val="0"/>
          <w:bCs w:val="0"/>
          <w:sz w:val="24"/>
          <w:highlight w:val="none"/>
          <w:lang w:eastAsia="zh-CN"/>
        </w:rPr>
        <w:t>供应商</w:t>
      </w:r>
      <w:r>
        <w:rPr>
          <w:rFonts w:ascii="Times New Roman" w:hAnsi="Times New Roman" w:eastAsia="宋体" w:cs="Times New Roman"/>
          <w:b w:val="0"/>
          <w:bCs w:val="0"/>
          <w:sz w:val="24"/>
          <w:highlight w:val="none"/>
        </w:rPr>
        <w:t>负责在具备技术对接条件后开展工作。）。根据</w:t>
      </w:r>
      <w:r>
        <w:rPr>
          <w:rFonts w:hint="eastAsia" w:ascii="Times New Roman" w:hAnsi="Times New Roman" w:eastAsia="宋体" w:cs="Times New Roman"/>
          <w:b w:val="0"/>
          <w:bCs w:val="0"/>
          <w:sz w:val="24"/>
          <w:highlight w:val="none"/>
          <w:lang w:eastAsia="zh-CN"/>
        </w:rPr>
        <w:t>采购人</w:t>
      </w:r>
      <w:r>
        <w:rPr>
          <w:rFonts w:ascii="Times New Roman" w:hAnsi="Times New Roman" w:eastAsia="宋体" w:cs="Times New Roman"/>
          <w:b w:val="0"/>
          <w:bCs w:val="0"/>
          <w:sz w:val="24"/>
          <w:highlight w:val="none"/>
        </w:rPr>
        <w:t>要求，运维服务、培训（每年为雄安新区本级、雄县、安新县、容城县提供在线网络培训课件、资料，不少于2期采购单位等培训）、客服服务、商品运营等配套的运维服务。</w:t>
      </w:r>
    </w:p>
    <w:p w14:paraId="076BADCA">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按照新区财政要求，及时、完整提供新区本级及三县，在政采云平台交易产生的各类政府采购数据、报表等。</w:t>
      </w:r>
    </w:p>
    <w:p w14:paraId="197AE1C9">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（二）服务范围及周期</w:t>
      </w:r>
    </w:p>
    <w:p w14:paraId="5B99BA6C">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1.服务范围</w:t>
      </w:r>
    </w:p>
    <w:p w14:paraId="04C034A3">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本项目服务范围含雄安新区本级及安新县、容城县、雄县。</w:t>
      </w:r>
    </w:p>
    <w:p w14:paraId="7D822C0A">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注：实际应用过程中，根据预算一体化系统动态调整。未列入上表区划如因自身工作开展确需购买政采云平台服务的，可根据实际情况协商另行签订购买服务合同。</w:t>
      </w:r>
    </w:p>
    <w:p w14:paraId="7A7DDAEA">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2.服务周期</w:t>
      </w:r>
    </w:p>
    <w:p w14:paraId="14E3746E">
      <w:pPr>
        <w:snapToGrid w:val="0"/>
        <w:spacing w:line="540" w:lineRule="exact"/>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自</w:t>
      </w:r>
      <w:r>
        <w:rPr>
          <w:rFonts w:ascii="Times New Roman" w:hAnsi="Times New Roman" w:eastAsia="宋体" w:cs="Times New Roman"/>
          <w:sz w:val="24"/>
          <w:highlight w:val="none"/>
        </w:rPr>
        <w:t>雄安新区政府采购管理及交易系统合同签订</w:t>
      </w:r>
      <w:r>
        <w:rPr>
          <w:rFonts w:hint="eastAsia" w:ascii="Times New Roman" w:hAnsi="Times New Roman" w:eastAsia="宋体" w:cs="Times New Roman"/>
          <w:sz w:val="24"/>
          <w:highlight w:val="none"/>
          <w:lang w:eastAsia="zh-CN"/>
        </w:rPr>
        <w:t>之日起</w:t>
      </w:r>
      <w:r>
        <w:rPr>
          <w:rFonts w:ascii="Times New Roman" w:hAnsi="Times New Roman" w:eastAsia="宋体" w:cs="Times New Roman"/>
          <w:sz w:val="24"/>
          <w:highlight w:val="none"/>
        </w:rPr>
        <w:t>提供1年的运维服务。</w:t>
      </w:r>
    </w:p>
    <w:p w14:paraId="1BF05802">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（三）服务对象</w:t>
      </w:r>
    </w:p>
    <w:p w14:paraId="6D5CB73C">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本项目服务范围内的各行政区划政府采购业务所涉及的采购人、供应商、集中采购机构、社会中介采购代理机构、专家、新区财政及其他相关监督管理部门等用户。</w:t>
      </w:r>
    </w:p>
    <w:p w14:paraId="590BB09F">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三、 其他服务要求</w:t>
      </w:r>
    </w:p>
    <w:p w14:paraId="084C5F4F">
      <w:pPr>
        <w:snapToGrid w:val="0"/>
        <w:spacing w:line="540" w:lineRule="exact"/>
        <w:ind w:firstLine="480" w:firstLineChars="200"/>
        <w:jc w:val="both"/>
        <w:rPr>
          <w:rFonts w:ascii="Times New Roman" w:hAnsi="Times New Roman" w:eastAsia="宋体" w:cs="Times New Roman"/>
          <w:sz w:val="24"/>
          <w:highlight w:val="none"/>
        </w:rPr>
      </w:pPr>
      <w:r>
        <w:rPr>
          <w:rFonts w:ascii="Times New Roman" w:hAnsi="Times New Roman" w:eastAsia="宋体" w:cs="Times New Roman"/>
          <w:sz w:val="24"/>
          <w:highlight w:val="none"/>
        </w:rPr>
        <w:t>政采云平台应提供的服务包括但不限于在线服务、热线服务、现场指导服务、现场培训服务、远程培训服务、基础运营服务等，并能够在此基础上进行定期回访、巡查等，保障全区各行政区划采购业务运行顺畅。</w:t>
      </w:r>
    </w:p>
    <w:p w14:paraId="0AED8DBB">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（一）热线/在线客户服务</w:t>
      </w:r>
    </w:p>
    <w:p w14:paraId="56CA7D7D">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为各行政区划采购人、供应商、集中采购机构、社会中介采购代理机构、专家、新区财政及相关监督管理部门等用户提供统一的在线/热线服务，为各类用户提供业务咨询、疑难问题解答、系统操作指导、投诉及改进意见受理、数据维护和性能优化等方面的服务。</w:t>
      </w:r>
    </w:p>
    <w:p w14:paraId="2E5B0723">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1.针对本项目，需根据实际咨询数量配备相应客服人员，并能够提供5*12小时的热线人工服务、7*24小时的机器智能服务，平台公司需向新区财政提供专业服务人员清单、联系方式，并加强对客服人员的业务培训；</w:t>
      </w:r>
    </w:p>
    <w:p w14:paraId="2A0BA96D">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 xml:space="preserve">2.服务人员需能清楚分辨受理服务内容的层次，包括一般技术问题、政府采购业务问题以及其他相关问题，并能对相应服务进行在线/热线指导和业务解答；针对基础数据类问题修订，需在1个工作日内完成处理并反馈结果；针对系统程序类BUG问题，需在2个工作日内完成处理并适时反馈处理进度；   </w:t>
      </w:r>
    </w:p>
    <w:p w14:paraId="252819BA">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3.对日常咨询的业务需求进行归集，并能够提供咨询业务分析报告，便于政府相关主管部门决策；</w:t>
      </w:r>
    </w:p>
    <w:p w14:paraId="1DF336FD">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 xml:space="preserve">4.能按用户需求提供完整服务受理文档，用户可不定期对受理服务内容进行满意度考核； </w:t>
      </w:r>
    </w:p>
    <w:p w14:paraId="208A2106">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5.建立客户服务的回访与管理机制，跟踪问题解答和处理的进展情况，调查用户满意度情况，进行相关工作成效统计分析，考核客服人员工作绩效；</w:t>
      </w:r>
    </w:p>
    <w:p w14:paraId="01A84298">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（二）现场指导服务</w:t>
      </w:r>
    </w:p>
    <w:p w14:paraId="40BC926C">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应提供本项目覆盖范围内的实施部署、功能完善工作，能够根据雄安新区各级政府采购用户的需求完成功能开发、实地业务流程的讲解、演示等，根据用户要求可提供现场指导、专场培训。</w:t>
      </w:r>
    </w:p>
    <w:p w14:paraId="404335EF">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（三）现场培训服务</w:t>
      </w:r>
    </w:p>
    <w:p w14:paraId="2A5286A1">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应具备一定的培训师资力量，能够对采购人、供应商、集中采购机构、社会中介采购代理机构、专家、新区财政及相关监督管理部门等用户进行定期指导培训和操作演示讲解；一般情况下，需提供包括但不限于以下培训：</w:t>
      </w:r>
    </w:p>
    <w:p w14:paraId="5F64EB56">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1.新区本级培训</w:t>
      </w:r>
    </w:p>
    <w:p w14:paraId="635A9C50">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新区财政、集中采购机构、采购单位负责人专场会议；新区社会中介代理机构培训。</w:t>
      </w:r>
    </w:p>
    <w:p w14:paraId="46207DDB">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2.各县级区划培训</w:t>
      </w:r>
    </w:p>
    <w:p w14:paraId="2DF215AB">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区划管理员入驻培训、采购单位培训、新区财政、集中采购机构全体培训、采购单位培训。</w:t>
      </w:r>
    </w:p>
    <w:p w14:paraId="46FFCC59">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由政采云平台负责师资及教材，由用户提供场地和培训设备并负责受训人员召集，组织实施。</w:t>
      </w:r>
    </w:p>
    <w:p w14:paraId="40EF7A2E">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（四）远程培训服务</w:t>
      </w:r>
    </w:p>
    <w:p w14:paraId="27BE0D46">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提供不定期远程在线课程，便于用户对政采云平台的上线功能进行学习。直播课内容包括但不限于政采云平台各交易系统、各模块操作使用培训等。</w:t>
      </w:r>
    </w:p>
    <w:p w14:paraId="2EDC56F6">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（五）回访、巡查服务</w:t>
      </w:r>
    </w:p>
    <w:p w14:paraId="7B161A7E">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需定期沟通客户需求，定期回访、定期巡查，并对形成的需求进行评估反馈，具备有效闭环通道。</w:t>
      </w:r>
    </w:p>
    <w:p w14:paraId="34B5B65F">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（六）基础运营服务</w:t>
      </w:r>
    </w:p>
    <w:p w14:paraId="0EA322E3">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需提供商品引用服务，定期的网站首页内容维护服务等。同时可提供新区财政、采购单位、供应商等各类用户需求的收集与优化服务。</w:t>
      </w:r>
    </w:p>
    <w:p w14:paraId="01D7A3CB">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（七）新区财政工单服务</w:t>
      </w:r>
    </w:p>
    <w:p w14:paraId="45BD334F">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 xml:space="preserve"> 针对新区财政以工单形式提出的各类功能开发、数据材料服务等需求，平台应指定专人按新区财政要求提供服务，并提供在线实时跟踪落实功能，方便新区财政随时监督跟踪工单完成进度，并实现预警、督促等功能，工单完成情况纳入对平台的考核及平台对相关人员的工作业绩考核。</w:t>
      </w:r>
    </w:p>
    <w:p w14:paraId="1524FB63">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四、 合同签订、费用计算及支付</w:t>
      </w:r>
    </w:p>
    <w:p w14:paraId="6D2336EB">
      <w:pPr>
        <w:snapToGrid w:val="0"/>
        <w:spacing w:line="460" w:lineRule="exact"/>
        <w:ind w:firstLine="470" w:firstLineChars="196"/>
        <w:rPr>
          <w:rFonts w:ascii="Times New Roman" w:hAnsi="Times New Roman" w:eastAsia="宋体" w:cs="Times New Roman"/>
          <w:sz w:val="24"/>
          <w:highlight w:val="none"/>
        </w:rPr>
      </w:pPr>
      <w:r>
        <w:rPr>
          <w:rFonts w:ascii="Times New Roman" w:hAnsi="Times New Roman" w:eastAsia="宋体" w:cs="Times New Roman"/>
          <w:sz w:val="24"/>
          <w:highlight w:val="none"/>
        </w:rPr>
        <w:t>（一）合同签订：本项目由河北</w:t>
      </w:r>
      <w:r>
        <w:rPr>
          <w:rFonts w:hint="eastAsia" w:ascii="Times New Roman" w:hAnsi="Times New Roman" w:eastAsia="宋体" w:cs="Times New Roman"/>
          <w:sz w:val="24"/>
          <w:highlight w:val="none"/>
          <w:lang w:eastAsia="zh-CN"/>
        </w:rPr>
        <w:t>雄安新区财政局</w:t>
      </w:r>
      <w:r>
        <w:rPr>
          <w:rFonts w:ascii="Times New Roman" w:hAnsi="Times New Roman" w:eastAsia="宋体" w:cs="Times New Roman"/>
          <w:sz w:val="24"/>
          <w:highlight w:val="none"/>
        </w:rPr>
        <w:t>与中标单位签订采购合同。</w:t>
      </w:r>
    </w:p>
    <w:p w14:paraId="093DFEBA">
      <w:pPr>
        <w:snapToGrid w:val="0"/>
        <w:spacing w:line="460" w:lineRule="exact"/>
        <w:ind w:firstLine="470" w:firstLineChars="196"/>
        <w:rPr>
          <w:rFonts w:ascii="Times New Roman" w:hAnsi="Times New Roman" w:eastAsia="宋体" w:cs="Times New Roman"/>
          <w:sz w:val="24"/>
          <w:highlight w:val="none"/>
        </w:rPr>
      </w:pPr>
      <w:r>
        <w:rPr>
          <w:rFonts w:ascii="Times New Roman" w:hAnsi="Times New Roman" w:eastAsia="宋体" w:cs="Times New Roman"/>
          <w:sz w:val="24"/>
          <w:highlight w:val="none"/>
        </w:rPr>
        <w:t>（二）费用计算：平台公司应根据项目建设需求，分别对雄安新区本级及县区年度服务费用标准进行报价，并根据本项目服务范围内各行政区划年度服务周期计算形成一个项目总费用。本项目中的建设费用不含服务对象使用平台资源占用费（云计算资源、存储资源、中间件、安全产品，及短信、电话、流量等租用或使用的费用），该费用需要雄安新区财政根据政采云有限公司的业务评估建议进行独立申请。</w:t>
      </w:r>
    </w:p>
    <w:p w14:paraId="57DADB87">
      <w:pPr>
        <w:snapToGrid w:val="0"/>
        <w:spacing w:line="460" w:lineRule="exact"/>
        <w:ind w:firstLine="470" w:firstLineChars="196"/>
        <w:rPr>
          <w:rFonts w:ascii="Times New Roman" w:hAnsi="Times New Roman" w:eastAsia="宋体" w:cs="Times New Roman"/>
          <w:sz w:val="24"/>
          <w:highlight w:val="none"/>
        </w:rPr>
      </w:pPr>
      <w:r>
        <w:rPr>
          <w:rFonts w:ascii="Times New Roman" w:hAnsi="Times New Roman" w:eastAsia="宋体" w:cs="Times New Roman"/>
          <w:sz w:val="24"/>
          <w:highlight w:val="none"/>
        </w:rPr>
        <w:t>（三）付款方式：按项目交付进度支付。</w:t>
      </w:r>
      <w:r>
        <w:rPr>
          <w:rFonts w:hint="eastAsia" w:ascii="Times New Roman" w:hAnsi="Times New Roman" w:eastAsia="宋体" w:cs="Times New Roman"/>
          <w:sz w:val="24"/>
          <w:highlight w:val="none"/>
        </w:rPr>
        <w:t>采购人</w:t>
      </w:r>
      <w:r>
        <w:rPr>
          <w:rFonts w:ascii="Times New Roman" w:hAnsi="Times New Roman" w:eastAsia="宋体" w:cs="Times New Roman"/>
          <w:sz w:val="24"/>
          <w:highlight w:val="none"/>
        </w:rPr>
        <w:t>应于</w:t>
      </w:r>
      <w:r>
        <w:rPr>
          <w:rFonts w:hint="eastAsia" w:ascii="Times New Roman" w:hAnsi="Times New Roman" w:eastAsia="宋体" w:cs="Times New Roman"/>
          <w:sz w:val="24"/>
          <w:highlight w:val="none"/>
          <w:lang w:eastAsia="zh-CN"/>
        </w:rPr>
        <w:t>合同签订</w:t>
      </w:r>
      <w:r>
        <w:rPr>
          <w:rFonts w:hint="eastAsia" w:ascii="Times New Roman" w:hAnsi="Times New Roman" w:eastAsia="宋体" w:cs="Times New Roman"/>
          <w:sz w:val="24"/>
          <w:highlight w:val="none"/>
        </w:rPr>
        <w:t>后</w:t>
      </w:r>
      <w:r>
        <w:rPr>
          <w:rFonts w:ascii="Times New Roman" w:hAnsi="Times New Roman" w:eastAsia="宋体" w:cs="Times New Roman"/>
          <w:sz w:val="24"/>
          <w:highlight w:val="none"/>
        </w:rPr>
        <w:t>的90日内，向</w:t>
      </w:r>
      <w:r>
        <w:rPr>
          <w:rFonts w:hint="eastAsia" w:ascii="Times New Roman" w:hAnsi="Times New Roman" w:eastAsia="宋体" w:cs="Times New Roman"/>
          <w:sz w:val="24"/>
          <w:highlight w:val="none"/>
        </w:rPr>
        <w:t>成交供应商</w:t>
      </w:r>
      <w:r>
        <w:rPr>
          <w:rFonts w:ascii="Times New Roman" w:hAnsi="Times New Roman" w:eastAsia="宋体" w:cs="Times New Roman"/>
          <w:sz w:val="24"/>
          <w:highlight w:val="none"/>
        </w:rPr>
        <w:t>支付</w:t>
      </w:r>
      <w:r>
        <w:rPr>
          <w:rFonts w:hint="eastAsia" w:ascii="Times New Roman" w:hAnsi="Times New Roman" w:eastAsia="宋体" w:cs="Times New Roman"/>
          <w:sz w:val="24"/>
          <w:highlight w:val="none"/>
        </w:rPr>
        <w:t>合同金额</w:t>
      </w:r>
      <w:r>
        <w:rPr>
          <w:rFonts w:ascii="Times New Roman" w:hAnsi="Times New Roman" w:eastAsia="宋体" w:cs="Times New Roman"/>
          <w:sz w:val="24"/>
          <w:highlight w:val="none"/>
        </w:rPr>
        <w:t>的80%；并在</w:t>
      </w:r>
      <w:r>
        <w:rPr>
          <w:rFonts w:hint="eastAsia" w:ascii="Times New Roman" w:hAnsi="Times New Roman" w:eastAsia="宋体" w:cs="Times New Roman"/>
          <w:sz w:val="24"/>
          <w:highlight w:val="none"/>
        </w:rPr>
        <w:t>运维</w:t>
      </w:r>
      <w:r>
        <w:rPr>
          <w:rFonts w:ascii="Times New Roman" w:hAnsi="Times New Roman" w:eastAsia="宋体" w:cs="Times New Roman"/>
          <w:sz w:val="24"/>
          <w:highlight w:val="none"/>
        </w:rPr>
        <w:t>服务期满后30日内，对</w:t>
      </w:r>
      <w:r>
        <w:rPr>
          <w:rFonts w:hint="eastAsia" w:ascii="Times New Roman" w:hAnsi="Times New Roman" w:eastAsia="宋体" w:cs="Times New Roman"/>
          <w:sz w:val="24"/>
          <w:highlight w:val="none"/>
        </w:rPr>
        <w:t>成交供应商</w:t>
      </w:r>
      <w:r>
        <w:rPr>
          <w:rFonts w:ascii="Times New Roman" w:hAnsi="Times New Roman" w:eastAsia="宋体" w:cs="Times New Roman"/>
          <w:sz w:val="24"/>
          <w:highlight w:val="none"/>
        </w:rPr>
        <w:t>的服务进行绩效评价，并根据绩效评价情况按比例支付剩余金额，绩效评价为优，则支付</w:t>
      </w:r>
      <w:r>
        <w:rPr>
          <w:rFonts w:hint="eastAsia" w:ascii="Times New Roman" w:hAnsi="Times New Roman" w:eastAsia="宋体" w:cs="Times New Roman"/>
          <w:sz w:val="24"/>
          <w:highlight w:val="none"/>
        </w:rPr>
        <w:t>合同金额的</w:t>
      </w:r>
      <w:r>
        <w:rPr>
          <w:rFonts w:ascii="Times New Roman" w:hAnsi="Times New Roman" w:eastAsia="宋体" w:cs="Times New Roman"/>
          <w:sz w:val="24"/>
          <w:highlight w:val="none"/>
        </w:rPr>
        <w:t>20%；绩效评价为良，则支付</w:t>
      </w:r>
      <w:r>
        <w:rPr>
          <w:rFonts w:hint="eastAsia" w:ascii="Times New Roman" w:hAnsi="Times New Roman" w:eastAsia="宋体" w:cs="Times New Roman"/>
          <w:sz w:val="24"/>
          <w:highlight w:val="none"/>
        </w:rPr>
        <w:t>合同金额的</w:t>
      </w:r>
      <w:r>
        <w:rPr>
          <w:rFonts w:ascii="Times New Roman" w:hAnsi="Times New Roman" w:eastAsia="宋体" w:cs="Times New Roman"/>
          <w:sz w:val="24"/>
          <w:highlight w:val="none"/>
        </w:rPr>
        <w:t>15%；绩效评价为不合格，则不支付尾款。</w:t>
      </w:r>
    </w:p>
    <w:p w14:paraId="27D02EE1">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五、 验收要求</w:t>
      </w:r>
    </w:p>
    <w:p w14:paraId="682E4F38">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（一）依据</w:t>
      </w:r>
    </w:p>
    <w:p w14:paraId="524A8472">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政府采购政策制度、合同及采购文件。</w:t>
      </w:r>
    </w:p>
    <w:p w14:paraId="6963009C">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（二）约定的服务内容与范围</w:t>
      </w:r>
    </w:p>
    <w:p w14:paraId="04C1FA96">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1.服务内容</w:t>
      </w:r>
    </w:p>
    <w:p w14:paraId="048591D9">
      <w:pPr>
        <w:snapToGrid w:val="0"/>
        <w:spacing w:line="540" w:lineRule="exact"/>
        <w:ind w:firstLine="480" w:firstLineChars="200"/>
        <w:rPr>
          <w:rFonts w:ascii="Times New Roman" w:hAnsi="Times New Roman" w:eastAsia="宋体" w:cs="Times New Roman"/>
          <w:b w:val="0"/>
          <w:bCs w:val="0"/>
          <w:sz w:val="24"/>
          <w:highlight w:val="none"/>
        </w:rPr>
      </w:pPr>
      <w:r>
        <w:rPr>
          <w:rFonts w:ascii="Times New Roman" w:hAnsi="Times New Roman" w:eastAsia="宋体" w:cs="Times New Roman"/>
          <w:b w:val="0"/>
          <w:bCs w:val="0"/>
          <w:sz w:val="24"/>
          <w:highlight w:val="none"/>
        </w:rPr>
        <w:t>（1）政采云平台使用：政采云平台应具备采购文件所列所有基础、服务、交易、监管等功能，包括但不限于政采云电子卖场系统、项目电子化采购系统、</w:t>
      </w:r>
      <w:r>
        <w:rPr>
          <w:rFonts w:hint="eastAsia" w:ascii="Times New Roman" w:hAnsi="Times New Roman" w:eastAsia="宋体" w:cs="Times New Roman"/>
          <w:b w:val="0"/>
          <w:bCs w:val="0"/>
          <w:sz w:val="24"/>
          <w:highlight w:val="none"/>
          <w:lang w:eastAsia="zh-CN"/>
        </w:rPr>
        <w:t>场地管理系统、电子归档系统、视频会议及存储功能、</w:t>
      </w:r>
      <w:r>
        <w:rPr>
          <w:rFonts w:ascii="Times New Roman" w:hAnsi="Times New Roman" w:eastAsia="宋体" w:cs="Times New Roman"/>
          <w:b w:val="0"/>
          <w:bCs w:val="0"/>
          <w:sz w:val="24"/>
          <w:highlight w:val="none"/>
        </w:rPr>
        <w:t>六库管理系统（监管部门、采购人、供应商、商品、专家、中介代理机构）、</w:t>
      </w:r>
      <w:r>
        <w:rPr>
          <w:rFonts w:ascii="Times New Roman" w:hAnsi="Times New Roman" w:eastAsia="宋体" w:cs="Times New Roman"/>
          <w:b w:val="0"/>
          <w:bCs w:val="0"/>
          <w:kern w:val="2"/>
          <w:sz w:val="24"/>
          <w:highlight w:val="none"/>
          <w:lang w:bidi="en-US"/>
        </w:rPr>
        <w:t>履约管理（区块链支付）、金融中心</w:t>
      </w:r>
      <w:r>
        <w:rPr>
          <w:rFonts w:ascii="Times New Roman" w:hAnsi="Times New Roman" w:eastAsia="宋体" w:cs="Times New Roman"/>
          <w:b w:val="0"/>
          <w:bCs w:val="0"/>
          <w:sz w:val="24"/>
          <w:highlight w:val="none"/>
        </w:rPr>
        <w:t>及新区财政要求的数据报表、预警监控、诚信评价等配套的政府采购交易管理服务系统。</w:t>
      </w:r>
    </w:p>
    <w:p w14:paraId="63FE342B">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（2）运维服务：</w:t>
      </w:r>
      <w:r>
        <w:rPr>
          <w:rFonts w:hint="eastAsia" w:ascii="Times New Roman" w:hAnsi="Times New Roman" w:eastAsia="宋体" w:cs="Times New Roman"/>
          <w:sz w:val="24"/>
          <w:highlight w:val="none"/>
          <w:lang w:eastAsia="zh-CN"/>
        </w:rPr>
        <w:t>雄安新区政府采购管理及交易系统的优化建设</w:t>
      </w:r>
      <w:r>
        <w:rPr>
          <w:rFonts w:ascii="Times New Roman" w:hAnsi="Times New Roman" w:eastAsia="宋体" w:cs="Times New Roman"/>
          <w:sz w:val="24"/>
          <w:highlight w:val="none"/>
        </w:rPr>
        <w:t>。数据开放平台接口运营服务，运维服务、培训、客服服务、商品运营等配套的运维服务。</w:t>
      </w:r>
    </w:p>
    <w:p w14:paraId="32412D53">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（3）雄安新区财政提出或认可的其他功能要求及服务内容。</w:t>
      </w:r>
    </w:p>
    <w:p w14:paraId="5AACCCDB">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平台公司需确保所提供的产品功能是根据雄安新区财政的需求建设，并根据财政及政府采购业务和监管需求不定期及时进行系统优化及升级，需求响应时间短于30个工作日。</w:t>
      </w:r>
    </w:p>
    <w:p w14:paraId="034BD83D">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 xml:space="preserve">2.服务范围：雄安新区本级及安新县、容城县及雄县。   </w:t>
      </w:r>
    </w:p>
    <w:p w14:paraId="41DBF0F9">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（三）合同验收</w:t>
      </w:r>
    </w:p>
    <w:p w14:paraId="3F26F308">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合同履约完毕后，由雄安新区本级组织对本区划服务进行合同验收，主要从平台功能需求实现（或者提供使用）、客户服务、运维服务情况进行验收。</w:t>
      </w:r>
    </w:p>
    <w:p w14:paraId="391AA249">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验收指标明细如下表：</w:t>
      </w:r>
    </w:p>
    <w:tbl>
      <w:tblPr>
        <w:tblStyle w:val="8"/>
        <w:tblW w:w="5093" w:type="pct"/>
        <w:tblInd w:w="0" w:type="dxa"/>
        <w:tblLayout w:type="autofit"/>
        <w:tblCellMar>
          <w:top w:w="15" w:type="dxa"/>
          <w:left w:w="15" w:type="dxa"/>
          <w:bottom w:w="15" w:type="dxa"/>
          <w:right w:w="15" w:type="dxa"/>
        </w:tblCellMar>
      </w:tblPr>
      <w:tblGrid>
        <w:gridCol w:w="927"/>
        <w:gridCol w:w="1010"/>
        <w:gridCol w:w="5852"/>
        <w:gridCol w:w="702"/>
      </w:tblGrid>
      <w:tr w14:paraId="596F1CA2">
        <w:tblPrEx>
          <w:tblCellMar>
            <w:top w:w="15" w:type="dxa"/>
            <w:left w:w="15" w:type="dxa"/>
            <w:bottom w:w="15" w:type="dxa"/>
            <w:right w:w="15" w:type="dxa"/>
          </w:tblCellMar>
        </w:tblPrEx>
        <w:trPr>
          <w:trHeight w:val="328" w:hRule="atLeast"/>
        </w:trPr>
        <w:tc>
          <w:tcPr>
            <w:tcW w:w="546" w:type="pct"/>
            <w:tcBorders>
              <w:top w:val="single" w:color="000000" w:sz="12" w:space="0"/>
              <w:left w:val="single" w:color="000000" w:sz="12" w:space="0"/>
              <w:bottom w:val="single" w:color="000000" w:sz="4" w:space="0"/>
              <w:right w:val="single" w:color="000000" w:sz="4" w:space="0"/>
            </w:tcBorders>
            <w:vAlign w:val="center"/>
          </w:tcPr>
          <w:p w14:paraId="2FC97936">
            <w:pPr>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szCs w:val="21"/>
                <w:highlight w:val="none"/>
                <w:lang w:bidi="ar"/>
              </w:rPr>
              <w:t>验收点</w:t>
            </w:r>
          </w:p>
        </w:tc>
        <w:tc>
          <w:tcPr>
            <w:tcW w:w="595" w:type="pct"/>
            <w:tcBorders>
              <w:top w:val="single" w:color="000000" w:sz="12" w:space="0"/>
              <w:left w:val="single" w:color="000000" w:sz="4" w:space="0"/>
              <w:bottom w:val="single" w:color="000000" w:sz="4" w:space="0"/>
              <w:right w:val="single" w:color="000000" w:sz="4" w:space="0"/>
            </w:tcBorders>
            <w:vAlign w:val="center"/>
          </w:tcPr>
          <w:p w14:paraId="7BC0E8C2">
            <w:pP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szCs w:val="21"/>
                <w:highlight w:val="none"/>
                <w:lang w:bidi="ar"/>
              </w:rPr>
              <w:t>验收指标</w:t>
            </w:r>
          </w:p>
        </w:tc>
        <w:tc>
          <w:tcPr>
            <w:tcW w:w="3446" w:type="pct"/>
            <w:tcBorders>
              <w:top w:val="single" w:color="000000" w:sz="12" w:space="0"/>
              <w:left w:val="single" w:color="000000" w:sz="4" w:space="0"/>
              <w:bottom w:val="single" w:color="000000" w:sz="4" w:space="0"/>
              <w:right w:val="single" w:color="000000" w:sz="4" w:space="0"/>
            </w:tcBorders>
            <w:vAlign w:val="center"/>
          </w:tcPr>
          <w:p w14:paraId="74BBD9DB">
            <w:pPr>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szCs w:val="21"/>
                <w:highlight w:val="none"/>
                <w:lang w:bidi="ar"/>
              </w:rPr>
              <w:t>具体指标要求</w:t>
            </w:r>
          </w:p>
        </w:tc>
        <w:tc>
          <w:tcPr>
            <w:tcW w:w="413" w:type="pct"/>
            <w:tcBorders>
              <w:top w:val="single" w:color="000000" w:sz="12" w:space="0"/>
              <w:left w:val="single" w:color="000000" w:sz="4" w:space="0"/>
              <w:bottom w:val="single" w:color="000000" w:sz="4" w:space="0"/>
              <w:right w:val="single" w:color="000000" w:sz="12" w:space="0"/>
            </w:tcBorders>
            <w:vAlign w:val="center"/>
          </w:tcPr>
          <w:p w14:paraId="0EE0899E">
            <w:pPr>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szCs w:val="21"/>
                <w:highlight w:val="none"/>
              </w:rPr>
              <w:t>满分</w:t>
            </w:r>
          </w:p>
        </w:tc>
      </w:tr>
      <w:tr w14:paraId="28379944">
        <w:tblPrEx>
          <w:tblCellMar>
            <w:top w:w="15" w:type="dxa"/>
            <w:left w:w="15" w:type="dxa"/>
            <w:bottom w:w="15" w:type="dxa"/>
            <w:right w:w="15" w:type="dxa"/>
          </w:tblCellMar>
        </w:tblPrEx>
        <w:trPr>
          <w:trHeight w:val="1684" w:hRule="atLeast"/>
        </w:trPr>
        <w:tc>
          <w:tcPr>
            <w:tcW w:w="546" w:type="pct"/>
            <w:tcBorders>
              <w:top w:val="single" w:color="000000" w:sz="4" w:space="0"/>
              <w:left w:val="single" w:color="000000" w:sz="12" w:space="0"/>
              <w:bottom w:val="single" w:color="000000" w:sz="4" w:space="0"/>
              <w:right w:val="single" w:color="000000" w:sz="4" w:space="0"/>
            </w:tcBorders>
            <w:vAlign w:val="center"/>
          </w:tcPr>
          <w:p w14:paraId="16E5E7C1">
            <w:pPr>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lang w:bidi="ar"/>
              </w:rPr>
              <w:t>平台功能</w:t>
            </w:r>
          </w:p>
        </w:tc>
        <w:tc>
          <w:tcPr>
            <w:tcW w:w="595" w:type="pct"/>
            <w:tcBorders>
              <w:top w:val="single" w:color="000000" w:sz="4" w:space="0"/>
              <w:left w:val="single" w:color="000000" w:sz="4" w:space="0"/>
              <w:bottom w:val="single" w:color="000000" w:sz="4" w:space="0"/>
              <w:right w:val="single" w:color="000000" w:sz="4" w:space="0"/>
            </w:tcBorders>
            <w:vAlign w:val="center"/>
          </w:tcPr>
          <w:p w14:paraId="340EA825">
            <w:pP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lang w:bidi="ar"/>
              </w:rPr>
              <w:t>功能提供使用</w:t>
            </w:r>
          </w:p>
        </w:tc>
        <w:tc>
          <w:tcPr>
            <w:tcW w:w="3446" w:type="pct"/>
            <w:tcBorders>
              <w:top w:val="single" w:color="000000" w:sz="4" w:space="0"/>
              <w:left w:val="single" w:color="000000" w:sz="4" w:space="0"/>
              <w:bottom w:val="single" w:color="000000" w:sz="4" w:space="0"/>
              <w:right w:val="single" w:color="000000" w:sz="4" w:space="0"/>
            </w:tcBorders>
            <w:vAlign w:val="center"/>
          </w:tcPr>
          <w:p w14:paraId="7D56538B">
            <w:pPr>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lang w:bidi="ar"/>
              </w:rPr>
              <w:t>1.应</w:t>
            </w:r>
            <w:r>
              <w:rPr>
                <w:rFonts w:ascii="Times New Roman" w:hAnsi="Times New Roman" w:eastAsia="宋体" w:cs="Times New Roman"/>
                <w:szCs w:val="21"/>
                <w:highlight w:val="none"/>
              </w:rPr>
              <w:t>根据区划需求提供系统使用，具体功能点详见附件。</w:t>
            </w:r>
          </w:p>
          <w:p w14:paraId="23037CED">
            <w:pPr>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lang w:bidi="ar"/>
              </w:rPr>
              <w:t>2.系统稳定性：平均无故障时间﹥99.9%。</w:t>
            </w:r>
          </w:p>
          <w:p w14:paraId="0C88B3C6">
            <w:pPr>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lang w:bidi="ar"/>
              </w:rPr>
              <w:t>3.确保所提供的产品功能是根据新区财政明确的需求建设，并根据财政及政府采购业务和监管需求不定期及时进行系统优化及升级，需求响应时间短于30个工作日。</w:t>
            </w:r>
          </w:p>
        </w:tc>
        <w:tc>
          <w:tcPr>
            <w:tcW w:w="413" w:type="pct"/>
            <w:tcBorders>
              <w:top w:val="single" w:color="000000" w:sz="4" w:space="0"/>
              <w:left w:val="single" w:color="000000" w:sz="4" w:space="0"/>
              <w:bottom w:val="single" w:color="000000" w:sz="4" w:space="0"/>
              <w:right w:val="single" w:color="000000" w:sz="12" w:space="0"/>
            </w:tcBorders>
            <w:vAlign w:val="center"/>
          </w:tcPr>
          <w:p w14:paraId="27646AC6">
            <w:pPr>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lang w:bidi="ar"/>
              </w:rPr>
              <w:t>40</w:t>
            </w:r>
          </w:p>
        </w:tc>
      </w:tr>
      <w:tr w14:paraId="3A47239F">
        <w:tblPrEx>
          <w:tblCellMar>
            <w:top w:w="15" w:type="dxa"/>
            <w:left w:w="15" w:type="dxa"/>
            <w:bottom w:w="15" w:type="dxa"/>
            <w:right w:w="15" w:type="dxa"/>
          </w:tblCellMar>
        </w:tblPrEx>
        <w:trPr>
          <w:trHeight w:val="854" w:hRule="atLeast"/>
        </w:trPr>
        <w:tc>
          <w:tcPr>
            <w:tcW w:w="546" w:type="pct"/>
            <w:vMerge w:val="restart"/>
            <w:tcBorders>
              <w:top w:val="single" w:color="000000" w:sz="4" w:space="0"/>
              <w:left w:val="single" w:color="000000" w:sz="12" w:space="0"/>
              <w:bottom w:val="single" w:color="000000" w:sz="4" w:space="0"/>
              <w:right w:val="single" w:color="000000" w:sz="4" w:space="0"/>
            </w:tcBorders>
            <w:vAlign w:val="center"/>
          </w:tcPr>
          <w:p w14:paraId="3C09C4B6">
            <w:pPr>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服务保障</w:t>
            </w:r>
          </w:p>
        </w:tc>
        <w:tc>
          <w:tcPr>
            <w:tcW w:w="595" w:type="pct"/>
            <w:tcBorders>
              <w:top w:val="single" w:color="000000" w:sz="4" w:space="0"/>
              <w:left w:val="single" w:color="000000" w:sz="4" w:space="0"/>
              <w:bottom w:val="single" w:color="000000" w:sz="4" w:space="0"/>
              <w:right w:val="single" w:color="000000" w:sz="4" w:space="0"/>
            </w:tcBorders>
            <w:vAlign w:val="center"/>
          </w:tcPr>
          <w:p w14:paraId="2438D6A3">
            <w:pPr>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lang w:bidi="ar"/>
              </w:rPr>
              <w:t>客户热线服务</w:t>
            </w:r>
          </w:p>
        </w:tc>
        <w:tc>
          <w:tcPr>
            <w:tcW w:w="3446" w:type="pct"/>
            <w:tcBorders>
              <w:top w:val="single" w:color="000000" w:sz="4" w:space="0"/>
              <w:left w:val="single" w:color="000000" w:sz="4" w:space="0"/>
              <w:bottom w:val="single" w:color="000000" w:sz="4" w:space="0"/>
              <w:right w:val="single" w:color="000000" w:sz="4" w:space="0"/>
            </w:tcBorders>
            <w:vAlign w:val="center"/>
          </w:tcPr>
          <w:p w14:paraId="1D4EA9D6">
            <w:pPr>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lang w:bidi="ar"/>
              </w:rPr>
              <w:t>人工客户服务热线服务时间：5×12小时（指工作日，周一至周五，节假日除外，新区财政可根据工作需要，要求平台公司延长服务时间）；</w:t>
            </w:r>
          </w:p>
          <w:p w14:paraId="69B1CAE2">
            <w:pPr>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lang w:bidi="ar"/>
              </w:rPr>
              <w:t>7×24小时的在线机器人服务系统、帮助中心自助查询、用户帮助工具（采宝）和邮箱受理服务；</w:t>
            </w:r>
          </w:p>
          <w:p w14:paraId="21921355">
            <w:pPr>
              <w:ind w:firstLine="420" w:firstLineChars="200"/>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rPr>
              <w:t>可以根据在线接通率、热线接通率、用户投诉核实等综合情况考核。</w:t>
            </w:r>
          </w:p>
        </w:tc>
        <w:tc>
          <w:tcPr>
            <w:tcW w:w="413" w:type="pct"/>
            <w:tcBorders>
              <w:top w:val="single" w:color="000000" w:sz="4" w:space="0"/>
              <w:left w:val="single" w:color="000000" w:sz="4" w:space="0"/>
              <w:bottom w:val="single" w:color="000000" w:sz="4" w:space="0"/>
              <w:right w:val="single" w:color="000000" w:sz="12" w:space="0"/>
            </w:tcBorders>
            <w:vAlign w:val="center"/>
          </w:tcPr>
          <w:p w14:paraId="133F9D9F">
            <w:pPr>
              <w:jc w:val="center"/>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lang w:bidi="ar"/>
              </w:rPr>
              <w:t>20</w:t>
            </w:r>
          </w:p>
        </w:tc>
      </w:tr>
      <w:tr w14:paraId="38E677AE">
        <w:tblPrEx>
          <w:tblCellMar>
            <w:top w:w="15" w:type="dxa"/>
            <w:left w:w="15" w:type="dxa"/>
            <w:bottom w:w="15" w:type="dxa"/>
            <w:right w:w="15" w:type="dxa"/>
          </w:tblCellMar>
        </w:tblPrEx>
        <w:trPr>
          <w:trHeight w:val="585" w:hRule="atLeast"/>
        </w:trPr>
        <w:tc>
          <w:tcPr>
            <w:tcW w:w="546" w:type="pct"/>
            <w:vMerge w:val="continue"/>
            <w:tcBorders>
              <w:top w:val="single" w:color="000000" w:sz="4" w:space="0"/>
              <w:left w:val="single" w:color="000000" w:sz="12" w:space="0"/>
              <w:bottom w:val="single" w:color="000000" w:sz="4" w:space="0"/>
              <w:right w:val="single" w:color="000000" w:sz="4" w:space="0"/>
            </w:tcBorders>
            <w:vAlign w:val="center"/>
          </w:tcPr>
          <w:p w14:paraId="43E48F89">
            <w:pPr>
              <w:jc w:val="center"/>
              <w:textAlignment w:val="center"/>
              <w:rPr>
                <w:rFonts w:ascii="Times New Roman" w:hAnsi="Times New Roman" w:eastAsia="宋体" w:cs="Times New Roman"/>
                <w:color w:val="000000"/>
                <w:szCs w:val="21"/>
                <w:highlight w:val="none"/>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3C7CA8DC">
            <w:pP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lang w:bidi="ar"/>
              </w:rPr>
              <w:t>培训服务</w:t>
            </w:r>
          </w:p>
        </w:tc>
        <w:tc>
          <w:tcPr>
            <w:tcW w:w="3446" w:type="pct"/>
            <w:tcBorders>
              <w:top w:val="single" w:color="000000" w:sz="4" w:space="0"/>
              <w:left w:val="single" w:color="000000" w:sz="4" w:space="0"/>
              <w:bottom w:val="single" w:color="000000" w:sz="4" w:space="0"/>
              <w:right w:val="single" w:color="000000" w:sz="4" w:space="0"/>
            </w:tcBorders>
            <w:vAlign w:val="center"/>
          </w:tcPr>
          <w:p w14:paraId="79E20A63">
            <w:pPr>
              <w:jc w:val="both"/>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lang w:bidi="ar"/>
              </w:rPr>
              <w:t>在线网络培训课件、资料；</w:t>
            </w:r>
          </w:p>
          <w:p w14:paraId="4A9D3069">
            <w:pPr>
              <w:jc w:val="both"/>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lang w:bidi="ar"/>
              </w:rPr>
              <w:t>每个区划2期采购单位培训；</w:t>
            </w:r>
          </w:p>
          <w:p w14:paraId="7D6F2A4D">
            <w:pPr>
              <w:jc w:val="both"/>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lang w:bidi="ar"/>
              </w:rPr>
              <w:t>当地视情雇佣的服务专员的培训，雄安新区本级限1名，本项指标区本级可以根据工作需要增加使用。</w:t>
            </w:r>
          </w:p>
          <w:p w14:paraId="5BD15CAE">
            <w:pPr>
              <w:jc w:val="both"/>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lang w:bidi="ar"/>
              </w:rPr>
              <w:t>根据是否按需求提供培训和培训满意度考核。</w:t>
            </w:r>
          </w:p>
        </w:tc>
        <w:tc>
          <w:tcPr>
            <w:tcW w:w="413" w:type="pct"/>
            <w:tcBorders>
              <w:top w:val="single" w:color="000000" w:sz="4" w:space="0"/>
              <w:left w:val="single" w:color="000000" w:sz="4" w:space="0"/>
              <w:bottom w:val="single" w:color="000000" w:sz="4" w:space="0"/>
              <w:right w:val="single" w:color="000000" w:sz="12" w:space="0"/>
            </w:tcBorders>
            <w:vAlign w:val="center"/>
          </w:tcPr>
          <w:p w14:paraId="7525D895">
            <w:pPr>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lang w:bidi="ar"/>
              </w:rPr>
              <w:t>10</w:t>
            </w:r>
          </w:p>
        </w:tc>
      </w:tr>
      <w:tr w14:paraId="12F6D2D9">
        <w:tblPrEx>
          <w:tblCellMar>
            <w:top w:w="15" w:type="dxa"/>
            <w:left w:w="15" w:type="dxa"/>
            <w:bottom w:w="15" w:type="dxa"/>
            <w:right w:w="15" w:type="dxa"/>
          </w:tblCellMar>
        </w:tblPrEx>
        <w:trPr>
          <w:trHeight w:val="585" w:hRule="atLeast"/>
        </w:trPr>
        <w:tc>
          <w:tcPr>
            <w:tcW w:w="546" w:type="pct"/>
            <w:vMerge w:val="restart"/>
            <w:tcBorders>
              <w:top w:val="single" w:color="000000" w:sz="4" w:space="0"/>
              <w:left w:val="single" w:color="000000" w:sz="12" w:space="0"/>
              <w:right w:val="single" w:color="000000" w:sz="4" w:space="0"/>
            </w:tcBorders>
            <w:vAlign w:val="center"/>
          </w:tcPr>
          <w:p w14:paraId="1F405A69">
            <w:pPr>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lang w:bidi="ar"/>
              </w:rPr>
              <w:t>运维服务</w:t>
            </w:r>
          </w:p>
        </w:tc>
        <w:tc>
          <w:tcPr>
            <w:tcW w:w="595" w:type="pct"/>
            <w:tcBorders>
              <w:top w:val="single" w:color="000000" w:sz="4" w:space="0"/>
              <w:left w:val="single" w:color="000000" w:sz="4" w:space="0"/>
              <w:bottom w:val="single" w:color="000000" w:sz="4" w:space="0"/>
              <w:right w:val="single" w:color="000000" w:sz="4" w:space="0"/>
            </w:tcBorders>
            <w:vAlign w:val="center"/>
          </w:tcPr>
          <w:p w14:paraId="3B021B29">
            <w:pPr>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lang w:bidi="ar"/>
              </w:rPr>
              <w:t>运维工单响应支持</w:t>
            </w:r>
          </w:p>
        </w:tc>
        <w:tc>
          <w:tcPr>
            <w:tcW w:w="3446" w:type="pct"/>
            <w:tcBorders>
              <w:top w:val="single" w:color="000000" w:sz="4" w:space="0"/>
              <w:left w:val="single" w:color="000000" w:sz="4" w:space="0"/>
              <w:bottom w:val="single" w:color="000000" w:sz="4" w:space="0"/>
              <w:right w:val="single" w:color="000000" w:sz="4" w:space="0"/>
            </w:tcBorders>
            <w:vAlign w:val="center"/>
          </w:tcPr>
          <w:p w14:paraId="3F1DB95D">
            <w:pPr>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lang w:bidi="ar"/>
              </w:rPr>
              <w:t>针对基础数据类问题修订，需在1个工作日内完成处理并反馈结果；针对系统程序类BUG问题，需在2个工作日内完成处理并适时反馈处理进度；</w:t>
            </w:r>
          </w:p>
        </w:tc>
        <w:tc>
          <w:tcPr>
            <w:tcW w:w="413" w:type="pct"/>
            <w:tcBorders>
              <w:top w:val="single" w:color="000000" w:sz="4" w:space="0"/>
              <w:left w:val="single" w:color="000000" w:sz="4" w:space="0"/>
              <w:bottom w:val="single" w:color="000000" w:sz="4" w:space="0"/>
              <w:right w:val="single" w:color="000000" w:sz="12" w:space="0"/>
            </w:tcBorders>
            <w:vAlign w:val="center"/>
          </w:tcPr>
          <w:p w14:paraId="36936931">
            <w:pPr>
              <w:jc w:val="center"/>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lang w:bidi="ar"/>
              </w:rPr>
              <w:t>10</w:t>
            </w:r>
          </w:p>
        </w:tc>
      </w:tr>
      <w:tr w14:paraId="6CD3EC5A">
        <w:tblPrEx>
          <w:tblCellMar>
            <w:top w:w="15" w:type="dxa"/>
            <w:left w:w="15" w:type="dxa"/>
            <w:bottom w:w="15" w:type="dxa"/>
            <w:right w:w="15" w:type="dxa"/>
          </w:tblCellMar>
        </w:tblPrEx>
        <w:trPr>
          <w:trHeight w:val="585" w:hRule="atLeast"/>
        </w:trPr>
        <w:tc>
          <w:tcPr>
            <w:tcW w:w="546" w:type="pct"/>
            <w:vMerge w:val="continue"/>
            <w:tcBorders>
              <w:left w:val="single" w:color="000000" w:sz="12" w:space="0"/>
              <w:right w:val="single" w:color="000000" w:sz="4" w:space="0"/>
            </w:tcBorders>
            <w:vAlign w:val="center"/>
          </w:tcPr>
          <w:p w14:paraId="72687E8F">
            <w:pPr>
              <w:jc w:val="center"/>
              <w:rPr>
                <w:rFonts w:ascii="Times New Roman" w:hAnsi="Times New Roman" w:eastAsia="宋体" w:cs="Times New Roman"/>
                <w:color w:val="000000"/>
                <w:szCs w:val="21"/>
                <w:highlight w:val="none"/>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6544AABD">
            <w:pPr>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lang w:bidi="ar"/>
              </w:rPr>
              <w:t>数据交互支持</w:t>
            </w:r>
          </w:p>
        </w:tc>
        <w:tc>
          <w:tcPr>
            <w:tcW w:w="3446" w:type="pct"/>
            <w:tcBorders>
              <w:top w:val="single" w:color="000000" w:sz="4" w:space="0"/>
              <w:left w:val="single" w:color="000000" w:sz="4" w:space="0"/>
              <w:bottom w:val="single" w:color="000000" w:sz="4" w:space="0"/>
              <w:right w:val="single" w:color="000000" w:sz="4" w:space="0"/>
            </w:tcBorders>
            <w:vAlign w:val="center"/>
          </w:tcPr>
          <w:p w14:paraId="19BCBA0C">
            <w:pPr>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szCs w:val="21"/>
                <w:highlight w:val="none"/>
                <w:lang w:bidi="ar"/>
              </w:rPr>
              <w:t>河北省预算一体化系统与政采云平台之间数据交互是否及时支持，包括聚散系统客户端部署支持、故障排除支持等；（如河北省预算一体化支持数据对接，则验收数据对接的稳定性及可靠性技术支持，如不支持数据对接，则验收两套系统间的数据手工交互支持效率）</w:t>
            </w:r>
          </w:p>
        </w:tc>
        <w:tc>
          <w:tcPr>
            <w:tcW w:w="413" w:type="pct"/>
            <w:tcBorders>
              <w:top w:val="single" w:color="000000" w:sz="4" w:space="0"/>
              <w:left w:val="single" w:color="000000" w:sz="4" w:space="0"/>
              <w:bottom w:val="single" w:color="000000" w:sz="4" w:space="0"/>
              <w:right w:val="single" w:color="000000" w:sz="12" w:space="0"/>
            </w:tcBorders>
            <w:vAlign w:val="center"/>
          </w:tcPr>
          <w:p w14:paraId="6A31E46F">
            <w:pPr>
              <w:jc w:val="center"/>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lang w:bidi="ar"/>
              </w:rPr>
              <w:t>10</w:t>
            </w:r>
          </w:p>
        </w:tc>
      </w:tr>
      <w:tr w14:paraId="4CAF738C">
        <w:tblPrEx>
          <w:tblCellMar>
            <w:top w:w="15" w:type="dxa"/>
            <w:left w:w="15" w:type="dxa"/>
            <w:bottom w:w="15" w:type="dxa"/>
            <w:right w:w="15" w:type="dxa"/>
          </w:tblCellMar>
        </w:tblPrEx>
        <w:trPr>
          <w:trHeight w:val="585" w:hRule="atLeast"/>
        </w:trPr>
        <w:tc>
          <w:tcPr>
            <w:tcW w:w="546" w:type="pct"/>
            <w:vMerge w:val="continue"/>
            <w:tcBorders>
              <w:left w:val="single" w:color="000000" w:sz="12" w:space="0"/>
              <w:bottom w:val="single" w:color="000000" w:sz="4" w:space="0"/>
              <w:right w:val="single" w:color="000000" w:sz="4" w:space="0"/>
            </w:tcBorders>
            <w:vAlign w:val="center"/>
          </w:tcPr>
          <w:p w14:paraId="2719B9DD">
            <w:pPr>
              <w:jc w:val="center"/>
              <w:rPr>
                <w:rFonts w:ascii="Times New Roman" w:hAnsi="Times New Roman" w:eastAsia="宋体" w:cs="Times New Roman"/>
                <w:color w:val="000000"/>
                <w:szCs w:val="21"/>
                <w:highlight w:val="none"/>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03F790F6">
            <w:pPr>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lang w:bidi="ar"/>
              </w:rPr>
              <w:t>数据提供支持</w:t>
            </w:r>
          </w:p>
        </w:tc>
        <w:tc>
          <w:tcPr>
            <w:tcW w:w="3446" w:type="pct"/>
            <w:tcBorders>
              <w:top w:val="single" w:color="000000" w:sz="4" w:space="0"/>
              <w:left w:val="single" w:color="000000" w:sz="4" w:space="0"/>
              <w:bottom w:val="single" w:color="000000" w:sz="4" w:space="0"/>
              <w:right w:val="single" w:color="000000" w:sz="4" w:space="0"/>
            </w:tcBorders>
            <w:vAlign w:val="center"/>
          </w:tcPr>
          <w:p w14:paraId="598E97CE">
            <w:pPr>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lang w:bidi="ar"/>
              </w:rPr>
              <w:t>按照新区财政要求，及时、完整提供各区划本级及所属市、县、区在政采云平台交易产生的各类政府采购数据、报表等。</w:t>
            </w:r>
          </w:p>
        </w:tc>
        <w:tc>
          <w:tcPr>
            <w:tcW w:w="413" w:type="pct"/>
            <w:tcBorders>
              <w:top w:val="single" w:color="000000" w:sz="4" w:space="0"/>
              <w:left w:val="single" w:color="000000" w:sz="4" w:space="0"/>
              <w:bottom w:val="single" w:color="000000" w:sz="4" w:space="0"/>
              <w:right w:val="single" w:color="000000" w:sz="12" w:space="0"/>
            </w:tcBorders>
            <w:vAlign w:val="center"/>
          </w:tcPr>
          <w:p w14:paraId="7FFDE861">
            <w:pPr>
              <w:jc w:val="center"/>
              <w:textAlignment w:val="center"/>
              <w:rPr>
                <w:rFonts w:ascii="Times New Roman" w:hAnsi="Times New Roman" w:eastAsia="宋体" w:cs="Times New Roman"/>
                <w:color w:val="000000"/>
                <w:szCs w:val="21"/>
                <w:highlight w:val="none"/>
                <w:lang w:bidi="ar"/>
              </w:rPr>
            </w:pPr>
            <w:r>
              <w:rPr>
                <w:rFonts w:ascii="Times New Roman" w:hAnsi="Times New Roman" w:eastAsia="宋体" w:cs="Times New Roman"/>
                <w:color w:val="000000"/>
                <w:szCs w:val="21"/>
                <w:highlight w:val="none"/>
                <w:lang w:bidi="ar"/>
              </w:rPr>
              <w:t>10</w:t>
            </w:r>
          </w:p>
        </w:tc>
      </w:tr>
    </w:tbl>
    <w:p w14:paraId="04D2C146">
      <w:pPr>
        <w:snapToGrid w:val="0"/>
        <w:spacing w:line="540" w:lineRule="exact"/>
        <w:ind w:firstLine="480" w:firstLineChars="200"/>
        <w:jc w:val="both"/>
        <w:rPr>
          <w:rFonts w:ascii="Times New Roman" w:hAnsi="Times New Roman" w:eastAsia="宋体" w:cs="Times New Roman"/>
          <w:highlight w:val="none"/>
        </w:rPr>
      </w:pPr>
      <w:r>
        <w:rPr>
          <w:rFonts w:ascii="Times New Roman" w:hAnsi="Times New Roman" w:eastAsia="宋体" w:cs="Times New Roman"/>
          <w:sz w:val="24"/>
          <w:highlight w:val="none"/>
        </w:rPr>
        <w:t>结合实际情况，组织对当年服务进行验收评分</w:t>
      </w:r>
      <w:r>
        <w:rPr>
          <w:rFonts w:hint="eastAsia" w:ascii="Times New Roman" w:hAnsi="Times New Roman" w:eastAsia="宋体" w:cs="Times New Roman"/>
          <w:sz w:val="24"/>
          <w:highlight w:val="none"/>
        </w:rPr>
        <w:t>（绩效评价）</w:t>
      </w:r>
      <w:r>
        <w:rPr>
          <w:rFonts w:ascii="Times New Roman" w:hAnsi="Times New Roman" w:eastAsia="宋体" w:cs="Times New Roman"/>
          <w:sz w:val="24"/>
          <w:highlight w:val="none"/>
        </w:rPr>
        <w:t>。</w:t>
      </w:r>
      <w:r>
        <w:rPr>
          <w:rFonts w:hint="eastAsia" w:ascii="Times New Roman" w:hAnsi="Times New Roman" w:eastAsia="宋体" w:cs="Times New Roman"/>
          <w:sz w:val="24"/>
          <w:highlight w:val="none"/>
        </w:rPr>
        <w:t>验收</w:t>
      </w:r>
      <w:r>
        <w:rPr>
          <w:rFonts w:ascii="Times New Roman" w:hAnsi="Times New Roman" w:eastAsia="宋体" w:cs="Times New Roman"/>
          <w:sz w:val="24"/>
          <w:highlight w:val="none"/>
        </w:rPr>
        <w:t>结果值分为</w:t>
      </w:r>
      <w:r>
        <w:rPr>
          <w:rFonts w:hint="eastAsia" w:ascii="Times New Roman" w:hAnsi="Times New Roman" w:eastAsia="宋体" w:cs="Times New Roman"/>
          <w:sz w:val="24"/>
          <w:highlight w:val="none"/>
        </w:rPr>
        <w:t>三</w:t>
      </w:r>
      <w:r>
        <w:rPr>
          <w:rFonts w:ascii="Times New Roman" w:hAnsi="Times New Roman" w:eastAsia="宋体" w:cs="Times New Roman"/>
          <w:sz w:val="24"/>
          <w:highlight w:val="none"/>
        </w:rPr>
        <w:t>档：</w:t>
      </w:r>
      <w:r>
        <w:rPr>
          <w:rFonts w:hint="eastAsia" w:ascii="Times New Roman" w:hAnsi="Times New Roman" w:eastAsia="宋体" w:cs="Times New Roman"/>
          <w:sz w:val="24"/>
          <w:highlight w:val="none"/>
        </w:rPr>
        <w:t>优</w:t>
      </w:r>
      <w:r>
        <w:rPr>
          <w:rFonts w:ascii="Times New Roman" w:hAnsi="Times New Roman" w:eastAsia="宋体" w:cs="Times New Roman"/>
          <w:sz w:val="24"/>
          <w:highlight w:val="none"/>
        </w:rPr>
        <w:t>（90</w:t>
      </w:r>
      <w:r>
        <w:rPr>
          <w:rFonts w:hint="eastAsia" w:ascii="Times New Roman" w:hAnsi="Times New Roman" w:eastAsia="宋体" w:cs="Times New Roman"/>
          <w:sz w:val="24"/>
          <w:highlight w:val="none"/>
        </w:rPr>
        <w:t>（</w:t>
      </w:r>
      <w:r>
        <w:rPr>
          <w:rFonts w:ascii="Times New Roman" w:hAnsi="Times New Roman" w:eastAsia="宋体" w:cs="Times New Roman"/>
          <w:sz w:val="24"/>
          <w:highlight w:val="none"/>
        </w:rPr>
        <w:t>含）-100分）；</w:t>
      </w:r>
      <w:r>
        <w:rPr>
          <w:rFonts w:hint="eastAsia" w:ascii="Times New Roman" w:hAnsi="Times New Roman" w:eastAsia="宋体" w:cs="Times New Roman"/>
          <w:sz w:val="24"/>
          <w:highlight w:val="none"/>
        </w:rPr>
        <w:t>良</w:t>
      </w:r>
      <w:r>
        <w:rPr>
          <w:rFonts w:ascii="Times New Roman" w:hAnsi="Times New Roman" w:eastAsia="宋体" w:cs="Times New Roman"/>
          <w:sz w:val="24"/>
          <w:highlight w:val="none"/>
        </w:rPr>
        <w:t>（60</w:t>
      </w:r>
      <w:r>
        <w:rPr>
          <w:rFonts w:hint="eastAsia" w:ascii="Times New Roman" w:hAnsi="Times New Roman" w:eastAsia="宋体" w:cs="Times New Roman"/>
          <w:sz w:val="24"/>
          <w:highlight w:val="none"/>
        </w:rPr>
        <w:t>（含）</w:t>
      </w:r>
      <w:r>
        <w:rPr>
          <w:rFonts w:ascii="Times New Roman" w:hAnsi="Times New Roman" w:eastAsia="宋体" w:cs="Times New Roman"/>
          <w:sz w:val="24"/>
          <w:highlight w:val="none"/>
        </w:rPr>
        <w:t>-90）；不</w:t>
      </w:r>
      <w:r>
        <w:rPr>
          <w:rFonts w:hint="eastAsia" w:ascii="Times New Roman" w:hAnsi="Times New Roman" w:eastAsia="宋体" w:cs="Times New Roman"/>
          <w:sz w:val="24"/>
          <w:highlight w:val="none"/>
        </w:rPr>
        <w:t>合格</w:t>
      </w:r>
      <w:r>
        <w:rPr>
          <w:rFonts w:ascii="Times New Roman" w:hAnsi="Times New Roman" w:eastAsia="宋体" w:cs="Times New Roman"/>
          <w:sz w:val="24"/>
          <w:highlight w:val="none"/>
        </w:rPr>
        <w:t>（60分以下）。</w:t>
      </w:r>
    </w:p>
    <w:p w14:paraId="77DA6AFD">
      <w:pPr>
        <w:snapToGrid w:val="0"/>
        <w:spacing w:line="540" w:lineRule="exact"/>
        <w:ind w:firstLine="480" w:firstLineChars="200"/>
        <w:jc w:val="both"/>
        <w:rPr>
          <w:rFonts w:ascii="Times New Roman" w:hAnsi="Times New Roman" w:eastAsia="宋体" w:cs="Times New Roman"/>
          <w:sz w:val="24"/>
          <w:highlight w:val="none"/>
        </w:rPr>
      </w:pPr>
      <w:r>
        <w:rPr>
          <w:rFonts w:ascii="Times New Roman" w:hAnsi="Times New Roman" w:eastAsia="宋体" w:cs="Times New Roman"/>
          <w:sz w:val="24"/>
          <w:highlight w:val="none"/>
        </w:rPr>
        <w:t>其中验收结果为</w:t>
      </w:r>
      <w:r>
        <w:rPr>
          <w:rFonts w:hint="eastAsia" w:ascii="Times New Roman" w:hAnsi="Times New Roman" w:eastAsia="宋体" w:cs="Times New Roman"/>
          <w:sz w:val="24"/>
          <w:highlight w:val="none"/>
        </w:rPr>
        <w:t>优</w:t>
      </w:r>
      <w:r>
        <w:rPr>
          <w:rFonts w:ascii="Times New Roman" w:hAnsi="Times New Roman" w:eastAsia="宋体" w:cs="Times New Roman"/>
          <w:sz w:val="24"/>
          <w:highlight w:val="none"/>
        </w:rPr>
        <w:t>的，支付合同金额的20%；验收结果为</w:t>
      </w:r>
      <w:r>
        <w:rPr>
          <w:rFonts w:hint="eastAsia" w:ascii="Times New Roman" w:hAnsi="Times New Roman" w:eastAsia="宋体" w:cs="Times New Roman"/>
          <w:sz w:val="24"/>
          <w:highlight w:val="none"/>
        </w:rPr>
        <w:t>良</w:t>
      </w:r>
      <w:r>
        <w:rPr>
          <w:rFonts w:ascii="Times New Roman" w:hAnsi="Times New Roman" w:eastAsia="宋体" w:cs="Times New Roman"/>
          <w:sz w:val="24"/>
          <w:highlight w:val="none"/>
        </w:rPr>
        <w:t>的，则支付合同金额的15%；验收结果为不</w:t>
      </w:r>
      <w:r>
        <w:rPr>
          <w:rFonts w:hint="eastAsia" w:ascii="Times New Roman" w:hAnsi="Times New Roman" w:eastAsia="宋体" w:cs="Times New Roman"/>
          <w:sz w:val="24"/>
          <w:highlight w:val="none"/>
        </w:rPr>
        <w:t>合格</w:t>
      </w:r>
      <w:r>
        <w:rPr>
          <w:rFonts w:ascii="Times New Roman" w:hAnsi="Times New Roman" w:eastAsia="宋体" w:cs="Times New Roman"/>
          <w:sz w:val="24"/>
          <w:highlight w:val="none"/>
        </w:rPr>
        <w:t>的，则不支付尾款。</w:t>
      </w:r>
    </w:p>
    <w:p w14:paraId="65A50C61">
      <w:pPr>
        <w:pStyle w:val="7"/>
        <w:ind w:left="0" w:leftChars="0" w:firstLine="0" w:firstLineChars="0"/>
        <w:rPr>
          <w:rFonts w:ascii="Times New Roman" w:hAnsi="Times New Roman"/>
          <w:color w:val="000000"/>
          <w:szCs w:val="21"/>
          <w:highlight w:val="none"/>
          <w:lang w:bidi="ar"/>
        </w:rPr>
      </w:pPr>
    </w:p>
    <w:p w14:paraId="6AADE2C4">
      <w:pPr>
        <w:pStyle w:val="7"/>
        <w:ind w:left="0" w:leftChars="0" w:firstLine="0" w:firstLineChars="0"/>
        <w:rPr>
          <w:rFonts w:ascii="Times New Roman" w:hAnsi="Times New Roman"/>
          <w:highlight w:val="none"/>
        </w:rPr>
      </w:pPr>
    </w:p>
    <w:p w14:paraId="21E88B07">
      <w:pPr>
        <w:pStyle w:val="7"/>
        <w:ind w:left="0" w:leftChars="0" w:firstLine="0" w:firstLineChars="0"/>
        <w:rPr>
          <w:rFonts w:ascii="Times New Roman" w:hAnsi="Times New Roman"/>
          <w:highlight w:val="none"/>
        </w:rPr>
      </w:pPr>
    </w:p>
    <w:p w14:paraId="30FAE52E">
      <w:pPr>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br w:type="page"/>
      </w:r>
    </w:p>
    <w:p w14:paraId="6850F5FD">
      <w:pPr>
        <w:spacing w:line="56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附：政采云功能点</w:t>
      </w:r>
    </w:p>
    <w:p w14:paraId="7F5CB2A9">
      <w:pPr>
        <w:snapToGrid w:val="0"/>
        <w:spacing w:line="54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（一）采购管理</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815"/>
        <w:gridCol w:w="4287"/>
        <w:gridCol w:w="1139"/>
        <w:gridCol w:w="704"/>
      </w:tblGrid>
      <w:tr w14:paraId="19D8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shd w:val="clear" w:color="000000" w:fill="D9D9D9"/>
            <w:vAlign w:val="center"/>
          </w:tcPr>
          <w:p w14:paraId="481795B5">
            <w:pPr>
              <w:spacing w:line="0" w:lineRule="atLeast"/>
              <w:jc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szCs w:val="21"/>
                <w:highlight w:val="none"/>
              </w:rPr>
              <w:t>序</w:t>
            </w:r>
          </w:p>
        </w:tc>
        <w:tc>
          <w:tcPr>
            <w:tcW w:w="1065" w:type="pct"/>
            <w:shd w:val="clear" w:color="000000" w:fill="D9D9D9"/>
            <w:vAlign w:val="center"/>
          </w:tcPr>
          <w:p w14:paraId="1B89229C">
            <w:pPr>
              <w:spacing w:line="0" w:lineRule="atLeast"/>
              <w:jc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szCs w:val="21"/>
                <w:highlight w:val="none"/>
              </w:rPr>
              <w:t>功能点</w:t>
            </w:r>
          </w:p>
        </w:tc>
        <w:tc>
          <w:tcPr>
            <w:tcW w:w="2515" w:type="pct"/>
            <w:shd w:val="clear" w:color="000000" w:fill="D9D9D9"/>
            <w:vAlign w:val="center"/>
          </w:tcPr>
          <w:p w14:paraId="339116E9">
            <w:pPr>
              <w:spacing w:line="0" w:lineRule="atLeast"/>
              <w:jc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szCs w:val="21"/>
                <w:highlight w:val="none"/>
              </w:rPr>
              <w:t>功能描述</w:t>
            </w:r>
          </w:p>
        </w:tc>
        <w:tc>
          <w:tcPr>
            <w:tcW w:w="668" w:type="pct"/>
            <w:shd w:val="clear" w:color="000000" w:fill="D9D9D9"/>
            <w:vAlign w:val="center"/>
          </w:tcPr>
          <w:p w14:paraId="14455890">
            <w:pPr>
              <w:spacing w:line="0" w:lineRule="atLeast"/>
              <w:jc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szCs w:val="21"/>
                <w:highlight w:val="none"/>
              </w:rPr>
              <w:t>新区本级</w:t>
            </w:r>
          </w:p>
        </w:tc>
        <w:tc>
          <w:tcPr>
            <w:tcW w:w="413" w:type="pct"/>
            <w:shd w:val="clear" w:color="000000" w:fill="D9D9D9"/>
            <w:vAlign w:val="center"/>
          </w:tcPr>
          <w:p w14:paraId="28D45DF0">
            <w:pPr>
              <w:spacing w:line="0" w:lineRule="atLeast"/>
              <w:jc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szCs w:val="21"/>
                <w:highlight w:val="none"/>
              </w:rPr>
              <w:t>区县</w:t>
            </w:r>
          </w:p>
        </w:tc>
      </w:tr>
      <w:tr w14:paraId="050C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58386CF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w:t>
            </w:r>
          </w:p>
        </w:tc>
        <w:tc>
          <w:tcPr>
            <w:tcW w:w="1065" w:type="pct"/>
            <w:vAlign w:val="center"/>
          </w:tcPr>
          <w:p w14:paraId="785D0ABC">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采购预算申请</w:t>
            </w:r>
          </w:p>
        </w:tc>
        <w:tc>
          <w:tcPr>
            <w:tcW w:w="2515" w:type="pct"/>
            <w:vAlign w:val="center"/>
          </w:tcPr>
          <w:p w14:paraId="5CDF719E">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支持采购单位提交采购预算申请，财政归口及财政监管进行数据审核。</w:t>
            </w:r>
          </w:p>
        </w:tc>
        <w:tc>
          <w:tcPr>
            <w:tcW w:w="668" w:type="pct"/>
            <w:vAlign w:val="center"/>
          </w:tcPr>
          <w:p w14:paraId="0F35FCE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1</w:t>
            </w:r>
          </w:p>
        </w:tc>
        <w:tc>
          <w:tcPr>
            <w:tcW w:w="413" w:type="pct"/>
            <w:vAlign w:val="center"/>
          </w:tcPr>
          <w:p w14:paraId="68ADE7B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1</w:t>
            </w:r>
          </w:p>
        </w:tc>
      </w:tr>
      <w:tr w14:paraId="1BE8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10CE0BB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w:t>
            </w:r>
          </w:p>
        </w:tc>
        <w:tc>
          <w:tcPr>
            <w:tcW w:w="1065" w:type="pct"/>
            <w:vAlign w:val="center"/>
          </w:tcPr>
          <w:p w14:paraId="0758648D">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采购预算导入</w:t>
            </w:r>
          </w:p>
        </w:tc>
        <w:tc>
          <w:tcPr>
            <w:tcW w:w="2515" w:type="pct"/>
            <w:vAlign w:val="center"/>
          </w:tcPr>
          <w:p w14:paraId="02667C3C">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提供xls采购预算模板，由财政监管机构批量进行数据导入。</w:t>
            </w:r>
          </w:p>
        </w:tc>
        <w:tc>
          <w:tcPr>
            <w:tcW w:w="668" w:type="pct"/>
            <w:vAlign w:val="center"/>
          </w:tcPr>
          <w:p w14:paraId="2CC4C7F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5FA78BF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46C7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669E1E2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w:t>
            </w:r>
          </w:p>
        </w:tc>
        <w:tc>
          <w:tcPr>
            <w:tcW w:w="1065" w:type="pct"/>
            <w:vAlign w:val="center"/>
          </w:tcPr>
          <w:p w14:paraId="092B6892">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采购预算调剂</w:t>
            </w:r>
          </w:p>
        </w:tc>
        <w:tc>
          <w:tcPr>
            <w:tcW w:w="2515" w:type="pct"/>
            <w:vAlign w:val="center"/>
          </w:tcPr>
          <w:p w14:paraId="597EB41C">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支持采购单位调整采购预算金额，财政归口及财政监管进行数据审核。</w:t>
            </w:r>
          </w:p>
        </w:tc>
        <w:tc>
          <w:tcPr>
            <w:tcW w:w="668" w:type="pct"/>
            <w:vAlign w:val="center"/>
          </w:tcPr>
          <w:p w14:paraId="026E073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1</w:t>
            </w:r>
          </w:p>
        </w:tc>
        <w:tc>
          <w:tcPr>
            <w:tcW w:w="413" w:type="pct"/>
            <w:vAlign w:val="center"/>
          </w:tcPr>
          <w:p w14:paraId="44A9D86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1</w:t>
            </w:r>
          </w:p>
        </w:tc>
      </w:tr>
      <w:tr w14:paraId="0042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76709506">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w:t>
            </w:r>
          </w:p>
        </w:tc>
        <w:tc>
          <w:tcPr>
            <w:tcW w:w="1065" w:type="pct"/>
            <w:vAlign w:val="center"/>
          </w:tcPr>
          <w:p w14:paraId="356A1925">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采购预算列表</w:t>
            </w:r>
          </w:p>
        </w:tc>
        <w:tc>
          <w:tcPr>
            <w:tcW w:w="2515" w:type="pct"/>
            <w:vAlign w:val="center"/>
          </w:tcPr>
          <w:p w14:paraId="09F9A81B">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提供采购预算列表及执行情况查询功能。</w:t>
            </w:r>
          </w:p>
        </w:tc>
        <w:tc>
          <w:tcPr>
            <w:tcW w:w="668" w:type="pct"/>
            <w:vAlign w:val="center"/>
          </w:tcPr>
          <w:p w14:paraId="65F7FC9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453B19F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55A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6CA8E31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w:t>
            </w:r>
          </w:p>
        </w:tc>
        <w:tc>
          <w:tcPr>
            <w:tcW w:w="1065" w:type="pct"/>
            <w:vAlign w:val="center"/>
          </w:tcPr>
          <w:p w14:paraId="0F17AD0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采购计划申请</w:t>
            </w:r>
          </w:p>
        </w:tc>
        <w:tc>
          <w:tcPr>
            <w:tcW w:w="2515" w:type="pct"/>
            <w:vAlign w:val="center"/>
          </w:tcPr>
          <w:p w14:paraId="57F49024">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支持采购单位申请采购计划，财政归口及财政监管进行数据审核。</w:t>
            </w:r>
          </w:p>
        </w:tc>
        <w:tc>
          <w:tcPr>
            <w:tcW w:w="668" w:type="pct"/>
            <w:vAlign w:val="center"/>
          </w:tcPr>
          <w:p w14:paraId="7659E28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1</w:t>
            </w:r>
          </w:p>
        </w:tc>
        <w:tc>
          <w:tcPr>
            <w:tcW w:w="413" w:type="pct"/>
            <w:vAlign w:val="center"/>
          </w:tcPr>
          <w:p w14:paraId="41F4322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1</w:t>
            </w:r>
          </w:p>
        </w:tc>
      </w:tr>
      <w:tr w14:paraId="5A47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28AC6B5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w:t>
            </w:r>
          </w:p>
        </w:tc>
        <w:tc>
          <w:tcPr>
            <w:tcW w:w="1065" w:type="pct"/>
            <w:vAlign w:val="center"/>
          </w:tcPr>
          <w:p w14:paraId="58B8188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采购计划导入</w:t>
            </w:r>
          </w:p>
        </w:tc>
        <w:tc>
          <w:tcPr>
            <w:tcW w:w="2515" w:type="pct"/>
            <w:vAlign w:val="center"/>
          </w:tcPr>
          <w:p w14:paraId="70236BA1">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提供xls采购计划模板，由财政监管机构批量数据导入。</w:t>
            </w:r>
          </w:p>
        </w:tc>
        <w:tc>
          <w:tcPr>
            <w:tcW w:w="668" w:type="pct"/>
            <w:vAlign w:val="center"/>
          </w:tcPr>
          <w:p w14:paraId="5071911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7C465FC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4E49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084B189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w:t>
            </w:r>
          </w:p>
        </w:tc>
        <w:tc>
          <w:tcPr>
            <w:tcW w:w="1065" w:type="pct"/>
            <w:vAlign w:val="center"/>
          </w:tcPr>
          <w:p w14:paraId="559AC502">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采购计划变更</w:t>
            </w:r>
          </w:p>
        </w:tc>
        <w:tc>
          <w:tcPr>
            <w:tcW w:w="2515" w:type="pct"/>
            <w:vAlign w:val="center"/>
          </w:tcPr>
          <w:p w14:paraId="4B40F11B">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支持采购单位变更采购方式，财政归口及财政监管进行数据审核。</w:t>
            </w:r>
          </w:p>
        </w:tc>
        <w:tc>
          <w:tcPr>
            <w:tcW w:w="668" w:type="pct"/>
            <w:vAlign w:val="center"/>
          </w:tcPr>
          <w:p w14:paraId="1082C5F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1</w:t>
            </w:r>
          </w:p>
        </w:tc>
        <w:tc>
          <w:tcPr>
            <w:tcW w:w="413" w:type="pct"/>
            <w:vAlign w:val="center"/>
          </w:tcPr>
          <w:p w14:paraId="1C52909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1</w:t>
            </w:r>
          </w:p>
        </w:tc>
      </w:tr>
      <w:tr w14:paraId="6D08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69604D0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8</w:t>
            </w:r>
          </w:p>
        </w:tc>
        <w:tc>
          <w:tcPr>
            <w:tcW w:w="1065" w:type="pct"/>
            <w:vAlign w:val="center"/>
          </w:tcPr>
          <w:p w14:paraId="4F69711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采购计划撤销</w:t>
            </w:r>
          </w:p>
        </w:tc>
        <w:tc>
          <w:tcPr>
            <w:tcW w:w="2515" w:type="pct"/>
            <w:vAlign w:val="center"/>
          </w:tcPr>
          <w:p w14:paraId="09610629">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生效的采购计划可申请作废或者重新审核，财政归口及财政监管进行数据审核。</w:t>
            </w:r>
          </w:p>
        </w:tc>
        <w:tc>
          <w:tcPr>
            <w:tcW w:w="668" w:type="pct"/>
            <w:vAlign w:val="center"/>
          </w:tcPr>
          <w:p w14:paraId="7B5FCED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1</w:t>
            </w:r>
          </w:p>
        </w:tc>
        <w:tc>
          <w:tcPr>
            <w:tcW w:w="413" w:type="pct"/>
            <w:vAlign w:val="center"/>
          </w:tcPr>
          <w:p w14:paraId="0B07CC0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1</w:t>
            </w:r>
          </w:p>
        </w:tc>
      </w:tr>
      <w:tr w14:paraId="7968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4711EE7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9</w:t>
            </w:r>
          </w:p>
        </w:tc>
        <w:tc>
          <w:tcPr>
            <w:tcW w:w="1065" w:type="pct"/>
            <w:vAlign w:val="center"/>
          </w:tcPr>
          <w:p w14:paraId="7EA82DE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采购计划拆分</w:t>
            </w:r>
          </w:p>
        </w:tc>
        <w:tc>
          <w:tcPr>
            <w:tcW w:w="2515" w:type="pct"/>
            <w:vAlign w:val="center"/>
          </w:tcPr>
          <w:p w14:paraId="61AC1119">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根据地方财政管理要求采购计划可进行拆分执行。</w:t>
            </w:r>
          </w:p>
        </w:tc>
        <w:tc>
          <w:tcPr>
            <w:tcW w:w="668" w:type="pct"/>
            <w:vAlign w:val="center"/>
          </w:tcPr>
          <w:p w14:paraId="4CC93D9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3D77DB8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29E4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7CD567F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10</w:t>
            </w:r>
          </w:p>
        </w:tc>
        <w:tc>
          <w:tcPr>
            <w:tcW w:w="1065" w:type="pct"/>
            <w:vAlign w:val="center"/>
          </w:tcPr>
          <w:p w14:paraId="72D431E7">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采购计划列表</w:t>
            </w:r>
          </w:p>
        </w:tc>
        <w:tc>
          <w:tcPr>
            <w:tcW w:w="2515" w:type="pct"/>
            <w:vAlign w:val="center"/>
          </w:tcPr>
          <w:p w14:paraId="3BF0FCE7">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支持采购计划列表和执行情况查询。</w:t>
            </w:r>
          </w:p>
        </w:tc>
        <w:tc>
          <w:tcPr>
            <w:tcW w:w="668" w:type="pct"/>
            <w:vAlign w:val="center"/>
          </w:tcPr>
          <w:p w14:paraId="4004275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0AC2E2D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3766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37DB558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11</w:t>
            </w:r>
          </w:p>
        </w:tc>
        <w:tc>
          <w:tcPr>
            <w:tcW w:w="1065" w:type="pct"/>
            <w:vAlign w:val="center"/>
          </w:tcPr>
          <w:p w14:paraId="6A2CE1A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公告创建</w:t>
            </w:r>
          </w:p>
        </w:tc>
        <w:tc>
          <w:tcPr>
            <w:tcW w:w="2515" w:type="pct"/>
            <w:vAlign w:val="center"/>
          </w:tcPr>
          <w:p w14:paraId="759C87B6">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可按照财政部要求根据系统预设的单一来源公示、采购意向公开、需求论证公示、履约验收公告、政府采购监管公告等各类模板创建公告，并与项目关联。</w:t>
            </w:r>
          </w:p>
        </w:tc>
        <w:tc>
          <w:tcPr>
            <w:tcW w:w="668" w:type="pct"/>
            <w:vAlign w:val="center"/>
          </w:tcPr>
          <w:p w14:paraId="7554931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3DBF811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C62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390ABA6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12</w:t>
            </w:r>
          </w:p>
        </w:tc>
        <w:tc>
          <w:tcPr>
            <w:tcW w:w="1065" w:type="pct"/>
            <w:vAlign w:val="center"/>
          </w:tcPr>
          <w:p w14:paraId="0DAFB071">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公告审核</w:t>
            </w:r>
          </w:p>
        </w:tc>
        <w:tc>
          <w:tcPr>
            <w:tcW w:w="2515" w:type="pct"/>
            <w:vAlign w:val="center"/>
          </w:tcPr>
          <w:p w14:paraId="00F2098A">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支持采购人内部公告审核，并支持监管部门审核指定的公告类型。</w:t>
            </w:r>
          </w:p>
        </w:tc>
        <w:tc>
          <w:tcPr>
            <w:tcW w:w="668" w:type="pct"/>
            <w:vAlign w:val="center"/>
          </w:tcPr>
          <w:p w14:paraId="5774803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2</w:t>
            </w:r>
          </w:p>
        </w:tc>
        <w:tc>
          <w:tcPr>
            <w:tcW w:w="413" w:type="pct"/>
            <w:vAlign w:val="center"/>
          </w:tcPr>
          <w:p w14:paraId="3EB3CA5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2</w:t>
            </w:r>
          </w:p>
        </w:tc>
      </w:tr>
      <w:tr w14:paraId="0832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65697F06">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13</w:t>
            </w:r>
          </w:p>
        </w:tc>
        <w:tc>
          <w:tcPr>
            <w:tcW w:w="1065" w:type="pct"/>
            <w:vAlign w:val="center"/>
          </w:tcPr>
          <w:p w14:paraId="455AC53D">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更正公告制作</w:t>
            </w:r>
          </w:p>
        </w:tc>
        <w:tc>
          <w:tcPr>
            <w:tcW w:w="2515" w:type="pct"/>
            <w:vAlign w:val="center"/>
          </w:tcPr>
          <w:p w14:paraId="7A007C0F">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支持采购文件、采购结果的变更公告，支持项目合同终止公告，公告经审核后生效。</w:t>
            </w:r>
          </w:p>
        </w:tc>
        <w:tc>
          <w:tcPr>
            <w:tcW w:w="668" w:type="pct"/>
            <w:vAlign w:val="center"/>
          </w:tcPr>
          <w:p w14:paraId="0EC5D98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2</w:t>
            </w:r>
          </w:p>
        </w:tc>
        <w:tc>
          <w:tcPr>
            <w:tcW w:w="413" w:type="pct"/>
            <w:vAlign w:val="center"/>
          </w:tcPr>
          <w:p w14:paraId="4F51B04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2</w:t>
            </w:r>
          </w:p>
        </w:tc>
      </w:tr>
      <w:tr w14:paraId="01A6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01004AA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14</w:t>
            </w:r>
          </w:p>
        </w:tc>
        <w:tc>
          <w:tcPr>
            <w:tcW w:w="1065" w:type="pct"/>
            <w:vAlign w:val="center"/>
          </w:tcPr>
          <w:p w14:paraId="6D2C7BB6">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区划公告模板</w:t>
            </w:r>
          </w:p>
        </w:tc>
        <w:tc>
          <w:tcPr>
            <w:tcW w:w="2515" w:type="pct"/>
            <w:vAlign w:val="center"/>
          </w:tcPr>
          <w:p w14:paraId="6AE23369">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提供定制化的区划公告模板供采购人参考使用。</w:t>
            </w:r>
          </w:p>
        </w:tc>
        <w:tc>
          <w:tcPr>
            <w:tcW w:w="668" w:type="pct"/>
            <w:vAlign w:val="center"/>
          </w:tcPr>
          <w:p w14:paraId="07F0A42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5FA0AF2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20B3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61C1E9C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15</w:t>
            </w:r>
          </w:p>
        </w:tc>
        <w:tc>
          <w:tcPr>
            <w:tcW w:w="1065" w:type="pct"/>
            <w:vAlign w:val="center"/>
          </w:tcPr>
          <w:p w14:paraId="54BDBF5D">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公告配置管理</w:t>
            </w:r>
          </w:p>
        </w:tc>
        <w:tc>
          <w:tcPr>
            <w:tcW w:w="2515" w:type="pct"/>
            <w:vAlign w:val="center"/>
          </w:tcPr>
          <w:p w14:paraId="3DD8C85B">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监管部门可对公告创建及公告发布规则进行配置；公告模板支持区划根据实际需求自定义配置，支持预览模板样式。</w:t>
            </w:r>
          </w:p>
        </w:tc>
        <w:tc>
          <w:tcPr>
            <w:tcW w:w="668" w:type="pct"/>
            <w:vAlign w:val="center"/>
          </w:tcPr>
          <w:p w14:paraId="52C34F7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362B40A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0218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375FD25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16</w:t>
            </w:r>
          </w:p>
        </w:tc>
        <w:tc>
          <w:tcPr>
            <w:tcW w:w="1065" w:type="pct"/>
            <w:vAlign w:val="center"/>
          </w:tcPr>
          <w:p w14:paraId="2A84CAA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区划公告推送</w:t>
            </w:r>
          </w:p>
        </w:tc>
        <w:tc>
          <w:tcPr>
            <w:tcW w:w="2515" w:type="pct"/>
            <w:vAlign w:val="center"/>
          </w:tcPr>
          <w:p w14:paraId="464B07FB">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可向中国政府采购网、省级政府官网、省级政府采购网以及省级公共资源网站推送公告。</w:t>
            </w:r>
          </w:p>
        </w:tc>
        <w:tc>
          <w:tcPr>
            <w:tcW w:w="668" w:type="pct"/>
            <w:vAlign w:val="center"/>
          </w:tcPr>
          <w:p w14:paraId="6D14EAE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2</w:t>
            </w:r>
          </w:p>
        </w:tc>
        <w:tc>
          <w:tcPr>
            <w:tcW w:w="413" w:type="pct"/>
            <w:vAlign w:val="center"/>
          </w:tcPr>
          <w:p w14:paraId="7A5DE83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2</w:t>
            </w:r>
          </w:p>
        </w:tc>
      </w:tr>
      <w:tr w14:paraId="312F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4DEF433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17</w:t>
            </w:r>
          </w:p>
        </w:tc>
        <w:tc>
          <w:tcPr>
            <w:tcW w:w="1065" w:type="pct"/>
            <w:vAlign w:val="center"/>
          </w:tcPr>
          <w:p w14:paraId="1D5B2247">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供应商诚信档案</w:t>
            </w:r>
          </w:p>
        </w:tc>
        <w:tc>
          <w:tcPr>
            <w:tcW w:w="2515" w:type="pct"/>
            <w:vAlign w:val="center"/>
          </w:tcPr>
          <w:p w14:paraId="4EA09174">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供应商的诚信计分、奖惩信息等信用模型建设。</w:t>
            </w:r>
          </w:p>
        </w:tc>
        <w:tc>
          <w:tcPr>
            <w:tcW w:w="668" w:type="pct"/>
            <w:vAlign w:val="center"/>
          </w:tcPr>
          <w:p w14:paraId="6F46E42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665D7BE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42F0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215857E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18</w:t>
            </w:r>
          </w:p>
        </w:tc>
        <w:tc>
          <w:tcPr>
            <w:tcW w:w="1065" w:type="pct"/>
            <w:vAlign w:val="center"/>
          </w:tcPr>
          <w:p w14:paraId="670EE68E">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供应商用户画像</w:t>
            </w:r>
          </w:p>
        </w:tc>
        <w:tc>
          <w:tcPr>
            <w:tcW w:w="2515" w:type="pct"/>
            <w:vAlign w:val="center"/>
          </w:tcPr>
          <w:p w14:paraId="54BF7B11">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支持根据供应商名称查询用户画像。包括用户的成交记录，诚信记录等综合展示。</w:t>
            </w:r>
          </w:p>
        </w:tc>
        <w:tc>
          <w:tcPr>
            <w:tcW w:w="668" w:type="pct"/>
            <w:vAlign w:val="center"/>
          </w:tcPr>
          <w:p w14:paraId="3735A8F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27FA14A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4C2D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5038118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19</w:t>
            </w:r>
          </w:p>
        </w:tc>
        <w:tc>
          <w:tcPr>
            <w:tcW w:w="1065" w:type="pct"/>
            <w:vAlign w:val="center"/>
          </w:tcPr>
          <w:p w14:paraId="30394CCA">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供应商诚信</w:t>
            </w:r>
          </w:p>
          <w:p w14:paraId="357ADD89">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计分日志</w:t>
            </w:r>
          </w:p>
        </w:tc>
        <w:tc>
          <w:tcPr>
            <w:tcW w:w="2515" w:type="pct"/>
            <w:vAlign w:val="center"/>
          </w:tcPr>
          <w:p w14:paraId="6CA988EB">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从评价、交易/合同单量和金额、企业信息、奖惩记录、使用系统的活跃度等多个事件源对供应商的行为作量化计算形成的计分日志库。</w:t>
            </w:r>
          </w:p>
        </w:tc>
        <w:tc>
          <w:tcPr>
            <w:tcW w:w="668" w:type="pct"/>
            <w:vAlign w:val="center"/>
          </w:tcPr>
          <w:p w14:paraId="6668A3C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22D4B58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D77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5369DDB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20</w:t>
            </w:r>
          </w:p>
        </w:tc>
        <w:tc>
          <w:tcPr>
            <w:tcW w:w="1065" w:type="pct"/>
            <w:vAlign w:val="center"/>
          </w:tcPr>
          <w:p w14:paraId="7E72C0C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供应商诚信</w:t>
            </w:r>
          </w:p>
          <w:p w14:paraId="2F8296BE">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规则库</w:t>
            </w:r>
          </w:p>
        </w:tc>
        <w:tc>
          <w:tcPr>
            <w:tcW w:w="2515" w:type="pct"/>
            <w:vAlign w:val="center"/>
          </w:tcPr>
          <w:p w14:paraId="01ED373B">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对供应商的行为、信息等因素进行分值转换的算法并形成的规则库。</w:t>
            </w:r>
          </w:p>
        </w:tc>
        <w:tc>
          <w:tcPr>
            <w:tcW w:w="668" w:type="pct"/>
            <w:vAlign w:val="center"/>
          </w:tcPr>
          <w:p w14:paraId="7BDB4C9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32B6F2D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3C2F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500B651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21</w:t>
            </w:r>
          </w:p>
        </w:tc>
        <w:tc>
          <w:tcPr>
            <w:tcW w:w="1065" w:type="pct"/>
            <w:vAlign w:val="center"/>
          </w:tcPr>
          <w:p w14:paraId="7ED38BB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诚信计分模板</w:t>
            </w:r>
          </w:p>
        </w:tc>
        <w:tc>
          <w:tcPr>
            <w:tcW w:w="2515" w:type="pct"/>
            <w:vAlign w:val="center"/>
          </w:tcPr>
          <w:p w14:paraId="08CF8579">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为多区划监管配置提供的模板。</w:t>
            </w:r>
          </w:p>
        </w:tc>
        <w:tc>
          <w:tcPr>
            <w:tcW w:w="668" w:type="pct"/>
            <w:vAlign w:val="center"/>
          </w:tcPr>
          <w:p w14:paraId="76BF9E1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4F0B421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2005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542FB42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22</w:t>
            </w:r>
          </w:p>
        </w:tc>
        <w:tc>
          <w:tcPr>
            <w:tcW w:w="1065" w:type="pct"/>
            <w:vAlign w:val="center"/>
          </w:tcPr>
          <w:p w14:paraId="2174BC8A">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诚信多区划</w:t>
            </w:r>
          </w:p>
          <w:p w14:paraId="1191C23D">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监管配置</w:t>
            </w:r>
          </w:p>
        </w:tc>
        <w:tc>
          <w:tcPr>
            <w:tcW w:w="2515" w:type="pct"/>
            <w:vAlign w:val="center"/>
          </w:tcPr>
          <w:p w14:paraId="4E30DC82">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支持根据不同区划需求，自定义配置区划监管的诚信分值因子配比。</w:t>
            </w:r>
          </w:p>
        </w:tc>
        <w:tc>
          <w:tcPr>
            <w:tcW w:w="668" w:type="pct"/>
            <w:vAlign w:val="center"/>
          </w:tcPr>
          <w:p w14:paraId="17EE4C5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7666EE7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29A4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25F375C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23</w:t>
            </w:r>
          </w:p>
        </w:tc>
        <w:tc>
          <w:tcPr>
            <w:tcW w:w="1065" w:type="pct"/>
            <w:vAlign w:val="center"/>
          </w:tcPr>
          <w:p w14:paraId="0948193D">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通用评价</w:t>
            </w:r>
          </w:p>
        </w:tc>
        <w:tc>
          <w:tcPr>
            <w:tcW w:w="2515" w:type="pct"/>
            <w:vAlign w:val="center"/>
          </w:tcPr>
          <w:p w14:paraId="41D8AB3F">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支持电子卖场的供应商、商品、订单的用户评价以及履约评价。</w:t>
            </w:r>
          </w:p>
        </w:tc>
        <w:tc>
          <w:tcPr>
            <w:tcW w:w="668" w:type="pct"/>
            <w:vAlign w:val="center"/>
          </w:tcPr>
          <w:p w14:paraId="16F7C8D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36C1279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33F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0659A6A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24</w:t>
            </w:r>
          </w:p>
        </w:tc>
        <w:tc>
          <w:tcPr>
            <w:tcW w:w="1065" w:type="pct"/>
            <w:vAlign w:val="center"/>
          </w:tcPr>
          <w:p w14:paraId="4D3D185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供应商评价统计</w:t>
            </w:r>
          </w:p>
        </w:tc>
        <w:tc>
          <w:tcPr>
            <w:tcW w:w="2515" w:type="pct"/>
            <w:vAlign w:val="center"/>
          </w:tcPr>
          <w:p w14:paraId="63F01E9F">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支持电子卖场的供应商评价历史统计。</w:t>
            </w:r>
          </w:p>
        </w:tc>
        <w:tc>
          <w:tcPr>
            <w:tcW w:w="668" w:type="pct"/>
            <w:vAlign w:val="center"/>
          </w:tcPr>
          <w:p w14:paraId="7D8D470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4D5C2FB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53C0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65BB075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25</w:t>
            </w:r>
          </w:p>
        </w:tc>
        <w:tc>
          <w:tcPr>
            <w:tcW w:w="1065" w:type="pct"/>
            <w:vAlign w:val="center"/>
          </w:tcPr>
          <w:p w14:paraId="2FA13E7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商品评价统计</w:t>
            </w:r>
          </w:p>
        </w:tc>
        <w:tc>
          <w:tcPr>
            <w:tcW w:w="2515" w:type="pct"/>
            <w:vAlign w:val="center"/>
          </w:tcPr>
          <w:p w14:paraId="1A098A34">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支持电子卖场商品评价历史统计。</w:t>
            </w:r>
          </w:p>
        </w:tc>
        <w:tc>
          <w:tcPr>
            <w:tcW w:w="668" w:type="pct"/>
            <w:vAlign w:val="center"/>
          </w:tcPr>
          <w:p w14:paraId="0EB6788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3C527D8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5E78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7791D56D">
            <w:pP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26</w:t>
            </w:r>
          </w:p>
        </w:tc>
        <w:tc>
          <w:tcPr>
            <w:tcW w:w="1065" w:type="pct"/>
            <w:vAlign w:val="center"/>
          </w:tcPr>
          <w:p w14:paraId="5A7084BD">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专家评价</w:t>
            </w:r>
          </w:p>
        </w:tc>
        <w:tc>
          <w:tcPr>
            <w:tcW w:w="2515" w:type="pct"/>
            <w:vAlign w:val="center"/>
          </w:tcPr>
          <w:p w14:paraId="5802430F">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支持代理机构对专家评价以及采购人对专家的评价。</w:t>
            </w:r>
          </w:p>
        </w:tc>
        <w:tc>
          <w:tcPr>
            <w:tcW w:w="668" w:type="pct"/>
            <w:vAlign w:val="center"/>
          </w:tcPr>
          <w:p w14:paraId="57D9FF5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27744EC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3F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79BE41B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27</w:t>
            </w:r>
          </w:p>
        </w:tc>
        <w:tc>
          <w:tcPr>
            <w:tcW w:w="1065" w:type="pct"/>
            <w:vAlign w:val="center"/>
          </w:tcPr>
          <w:p w14:paraId="73C2BAB1">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专家考核</w:t>
            </w:r>
          </w:p>
        </w:tc>
        <w:tc>
          <w:tcPr>
            <w:tcW w:w="2515" w:type="pct"/>
            <w:vAlign w:val="center"/>
          </w:tcPr>
          <w:p w14:paraId="4DB37A25">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财政、代理机构、采购人对专家进行打分，系统汇总专家考核信息。</w:t>
            </w:r>
          </w:p>
        </w:tc>
        <w:tc>
          <w:tcPr>
            <w:tcW w:w="668" w:type="pct"/>
            <w:vAlign w:val="center"/>
          </w:tcPr>
          <w:p w14:paraId="46D85A3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070CBDB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004D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0192090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28</w:t>
            </w:r>
          </w:p>
        </w:tc>
        <w:tc>
          <w:tcPr>
            <w:tcW w:w="1065" w:type="pct"/>
            <w:vAlign w:val="center"/>
          </w:tcPr>
          <w:p w14:paraId="29A3E455">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评价及考核配置</w:t>
            </w:r>
          </w:p>
        </w:tc>
        <w:tc>
          <w:tcPr>
            <w:tcW w:w="2515" w:type="pct"/>
            <w:vAlign w:val="center"/>
          </w:tcPr>
          <w:p w14:paraId="2C2D991E">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支持评价、考核自定义配置的模板。</w:t>
            </w:r>
          </w:p>
        </w:tc>
        <w:tc>
          <w:tcPr>
            <w:tcW w:w="668" w:type="pct"/>
            <w:vAlign w:val="center"/>
          </w:tcPr>
          <w:p w14:paraId="3A5EDDC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3A710FB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1EBE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186776B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29</w:t>
            </w:r>
          </w:p>
        </w:tc>
        <w:tc>
          <w:tcPr>
            <w:tcW w:w="1065" w:type="pct"/>
            <w:vAlign w:val="center"/>
          </w:tcPr>
          <w:p w14:paraId="29EA168A">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评价及考核</w:t>
            </w:r>
          </w:p>
          <w:p w14:paraId="593CE8E7">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维度库</w:t>
            </w:r>
          </w:p>
        </w:tc>
        <w:tc>
          <w:tcPr>
            <w:tcW w:w="2515" w:type="pct"/>
            <w:vAlign w:val="center"/>
          </w:tcPr>
          <w:p w14:paraId="7421F061">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对不同业务类型的评价、考核的维度进行抽象并统一管理。</w:t>
            </w:r>
          </w:p>
        </w:tc>
        <w:tc>
          <w:tcPr>
            <w:tcW w:w="668" w:type="pct"/>
            <w:vAlign w:val="center"/>
          </w:tcPr>
          <w:p w14:paraId="5E3C742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63BF65F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2F6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787553E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30</w:t>
            </w:r>
          </w:p>
        </w:tc>
        <w:tc>
          <w:tcPr>
            <w:tcW w:w="1065" w:type="pct"/>
            <w:vAlign w:val="center"/>
          </w:tcPr>
          <w:p w14:paraId="08D0E4B2">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预警工作台</w:t>
            </w:r>
          </w:p>
        </w:tc>
        <w:tc>
          <w:tcPr>
            <w:tcW w:w="2515" w:type="pct"/>
            <w:vAlign w:val="center"/>
          </w:tcPr>
          <w:p w14:paraId="4F9534DB">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接收处理预警。</w:t>
            </w:r>
          </w:p>
        </w:tc>
        <w:tc>
          <w:tcPr>
            <w:tcW w:w="668" w:type="pct"/>
            <w:vAlign w:val="center"/>
          </w:tcPr>
          <w:p w14:paraId="07E6754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2EFCAA4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0B93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3B1BDBB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31</w:t>
            </w:r>
          </w:p>
        </w:tc>
        <w:tc>
          <w:tcPr>
            <w:tcW w:w="1065" w:type="pct"/>
            <w:vAlign w:val="center"/>
          </w:tcPr>
          <w:p w14:paraId="06315F6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预警记录查看</w:t>
            </w:r>
          </w:p>
        </w:tc>
        <w:tc>
          <w:tcPr>
            <w:tcW w:w="2515" w:type="pct"/>
            <w:vAlign w:val="center"/>
          </w:tcPr>
          <w:p w14:paraId="11897141">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支持按照人员权限不同配置对应的数据查询权限，支持多维度监管查询。</w:t>
            </w:r>
          </w:p>
        </w:tc>
        <w:tc>
          <w:tcPr>
            <w:tcW w:w="668" w:type="pct"/>
            <w:vAlign w:val="center"/>
          </w:tcPr>
          <w:p w14:paraId="364D498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37D2D0F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2795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60E97A2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32</w:t>
            </w:r>
          </w:p>
        </w:tc>
        <w:tc>
          <w:tcPr>
            <w:tcW w:w="1065" w:type="pct"/>
            <w:vAlign w:val="center"/>
          </w:tcPr>
          <w:p w14:paraId="01EC228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预警规则管理</w:t>
            </w:r>
          </w:p>
        </w:tc>
        <w:tc>
          <w:tcPr>
            <w:tcW w:w="2515" w:type="pct"/>
            <w:vAlign w:val="center"/>
          </w:tcPr>
          <w:p w14:paraId="075C0609">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支持设置预警分类、预警流程、预警环节、预警等级、触发条件（时间、价格）、预警方式（短信、平台消息）。支持对自动化预警规则配置进行关联，可根据配置的监控节点进行埋点，自动触发相关预警。</w:t>
            </w:r>
          </w:p>
        </w:tc>
        <w:tc>
          <w:tcPr>
            <w:tcW w:w="668" w:type="pct"/>
            <w:vAlign w:val="center"/>
          </w:tcPr>
          <w:p w14:paraId="151B743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4F18E09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57C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3DC16B8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33</w:t>
            </w:r>
          </w:p>
        </w:tc>
        <w:tc>
          <w:tcPr>
            <w:tcW w:w="1065" w:type="pct"/>
            <w:vAlign w:val="center"/>
          </w:tcPr>
          <w:p w14:paraId="009BD97E">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自动预警监控</w:t>
            </w:r>
          </w:p>
          <w:p w14:paraId="546549D3">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引擎</w:t>
            </w:r>
          </w:p>
        </w:tc>
        <w:tc>
          <w:tcPr>
            <w:tcW w:w="2515" w:type="pct"/>
            <w:vAlign w:val="center"/>
          </w:tcPr>
          <w:p w14:paraId="1049C149">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根据自动预警定义的规则，监控相应数据源，发现异常并产出预警记录。</w:t>
            </w:r>
          </w:p>
        </w:tc>
        <w:tc>
          <w:tcPr>
            <w:tcW w:w="668" w:type="pct"/>
            <w:vAlign w:val="center"/>
          </w:tcPr>
          <w:p w14:paraId="01F6A3B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3196FDC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783D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1BA7C6F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34</w:t>
            </w:r>
          </w:p>
        </w:tc>
        <w:tc>
          <w:tcPr>
            <w:tcW w:w="1065" w:type="pct"/>
            <w:vAlign w:val="center"/>
          </w:tcPr>
          <w:p w14:paraId="745FB88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预警发送</w:t>
            </w:r>
          </w:p>
        </w:tc>
        <w:tc>
          <w:tcPr>
            <w:tcW w:w="2515" w:type="pct"/>
            <w:vAlign w:val="center"/>
          </w:tcPr>
          <w:p w14:paraId="18EC774D">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通过站内消息、短信、邮件的方式，将预警通知到规则定义的预警对象。</w:t>
            </w:r>
          </w:p>
        </w:tc>
        <w:tc>
          <w:tcPr>
            <w:tcW w:w="668" w:type="pct"/>
            <w:vAlign w:val="center"/>
          </w:tcPr>
          <w:p w14:paraId="3D76246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4FE0DF9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745B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399C05D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35</w:t>
            </w:r>
          </w:p>
        </w:tc>
        <w:tc>
          <w:tcPr>
            <w:tcW w:w="1065" w:type="pct"/>
            <w:vAlign w:val="center"/>
          </w:tcPr>
          <w:p w14:paraId="52771C89">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手动预警</w:t>
            </w:r>
          </w:p>
        </w:tc>
        <w:tc>
          <w:tcPr>
            <w:tcW w:w="2515" w:type="pct"/>
            <w:vAlign w:val="center"/>
          </w:tcPr>
          <w:p w14:paraId="483D3027">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监管人员手动发送预警到相应对象。</w:t>
            </w:r>
          </w:p>
        </w:tc>
        <w:tc>
          <w:tcPr>
            <w:tcW w:w="668" w:type="pct"/>
            <w:vAlign w:val="center"/>
          </w:tcPr>
          <w:p w14:paraId="7D52065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4D6C72E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7448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49AB239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36</w:t>
            </w:r>
          </w:p>
        </w:tc>
        <w:tc>
          <w:tcPr>
            <w:tcW w:w="1065" w:type="pct"/>
            <w:vAlign w:val="center"/>
          </w:tcPr>
          <w:p w14:paraId="53346C2F">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配置管理</w:t>
            </w:r>
          </w:p>
        </w:tc>
        <w:tc>
          <w:tcPr>
            <w:tcW w:w="2515" w:type="pct"/>
            <w:vAlign w:val="center"/>
          </w:tcPr>
          <w:p w14:paraId="09B2EA25">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预警类型、业务类型、法定效能等数据源的配置。</w:t>
            </w:r>
          </w:p>
        </w:tc>
        <w:tc>
          <w:tcPr>
            <w:tcW w:w="668" w:type="pct"/>
            <w:vAlign w:val="center"/>
          </w:tcPr>
          <w:p w14:paraId="3DA0E17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1D592DD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5FE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3D03814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37</w:t>
            </w:r>
          </w:p>
        </w:tc>
        <w:tc>
          <w:tcPr>
            <w:tcW w:w="1065" w:type="pct"/>
            <w:vAlign w:val="center"/>
          </w:tcPr>
          <w:p w14:paraId="7306119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财政部报表</w:t>
            </w:r>
          </w:p>
        </w:tc>
        <w:tc>
          <w:tcPr>
            <w:tcW w:w="2515" w:type="pct"/>
            <w:vAlign w:val="center"/>
          </w:tcPr>
          <w:p w14:paraId="1AAAD659">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系统根据财政部报表规则，汇总平台相关交易数据，自动生成财政部13类报表，供用户下载后，导入到内网系统。</w:t>
            </w:r>
          </w:p>
        </w:tc>
        <w:tc>
          <w:tcPr>
            <w:tcW w:w="668" w:type="pct"/>
            <w:vAlign w:val="center"/>
          </w:tcPr>
          <w:p w14:paraId="24BE186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700CC47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0F37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602B962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38</w:t>
            </w:r>
          </w:p>
        </w:tc>
        <w:tc>
          <w:tcPr>
            <w:tcW w:w="1065" w:type="pct"/>
            <w:vAlign w:val="center"/>
          </w:tcPr>
          <w:p w14:paraId="15D3F15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查询统计</w:t>
            </w:r>
          </w:p>
        </w:tc>
        <w:tc>
          <w:tcPr>
            <w:tcW w:w="2515" w:type="pct"/>
            <w:vAlign w:val="center"/>
          </w:tcPr>
          <w:p w14:paraId="6908D30F">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按照新区财政要求，为政府采购工作提供灵活、高效的数据统计功能，并能将统计结果以多种格式展现和导出，包括但不限于业务数据查询、查询结果导出等。</w:t>
            </w:r>
          </w:p>
        </w:tc>
        <w:tc>
          <w:tcPr>
            <w:tcW w:w="668" w:type="pct"/>
            <w:vAlign w:val="center"/>
          </w:tcPr>
          <w:p w14:paraId="467181F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2EA8977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1AD2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3B33885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39</w:t>
            </w:r>
          </w:p>
        </w:tc>
        <w:tc>
          <w:tcPr>
            <w:tcW w:w="1065" w:type="pct"/>
            <w:vAlign w:val="center"/>
          </w:tcPr>
          <w:p w14:paraId="3B9FE63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决策分析</w:t>
            </w:r>
          </w:p>
        </w:tc>
        <w:tc>
          <w:tcPr>
            <w:tcW w:w="2515" w:type="pct"/>
            <w:vAlign w:val="center"/>
          </w:tcPr>
          <w:p w14:paraId="7B2CFA6A">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决策支持管理分为四个部分：综合分析、排序对比、绩效评价、趋势分析。</w:t>
            </w:r>
          </w:p>
          <w:p w14:paraId="1AE697AC">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通过对系统各类资源进行全方位的挖掘利用，对政府采购活动的领导决策提供科学的、客观的数据支持。</w:t>
            </w:r>
          </w:p>
          <w:p w14:paraId="6365F850">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针对采购活动，动态制作报表，并生成统计报表数据，供领导查询，系统应提供多种展现形式。</w:t>
            </w:r>
          </w:p>
        </w:tc>
        <w:tc>
          <w:tcPr>
            <w:tcW w:w="668" w:type="pct"/>
            <w:vAlign w:val="center"/>
          </w:tcPr>
          <w:p w14:paraId="3CE3179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775E4CC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4100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39" w:type="pct"/>
            <w:vAlign w:val="center"/>
          </w:tcPr>
          <w:p w14:paraId="7025C276">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40</w:t>
            </w:r>
          </w:p>
        </w:tc>
        <w:tc>
          <w:tcPr>
            <w:tcW w:w="3580" w:type="pct"/>
            <w:gridSpan w:val="2"/>
            <w:vAlign w:val="center"/>
          </w:tcPr>
          <w:p w14:paraId="0884C16A">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支持根据用户不同场景的诉求，自定义配置各个维度的数据报表模型，供相关角色查看、筛选、导出相关数据报表。</w:t>
            </w:r>
          </w:p>
        </w:tc>
        <w:tc>
          <w:tcPr>
            <w:tcW w:w="668" w:type="pct"/>
            <w:vAlign w:val="center"/>
          </w:tcPr>
          <w:p w14:paraId="3DB3451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6D4D647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79E0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554578D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41</w:t>
            </w:r>
          </w:p>
        </w:tc>
        <w:tc>
          <w:tcPr>
            <w:tcW w:w="3580" w:type="pct"/>
            <w:gridSpan w:val="2"/>
            <w:vAlign w:val="center"/>
          </w:tcPr>
          <w:p w14:paraId="592CFDE4">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政采云平台运用大数据分析技术，实现与主流电商平台、平台自身成交数据的比对分析，形成政采云价格指数，逐步建立标准化的商品类目、属性和价格体系，显示全网最低报价、平均成交价等，并逐步解决网超部分上架产品价格高于其他主流电商平台的问题，确保财政资金花得其所、用得值当。</w:t>
            </w:r>
          </w:p>
        </w:tc>
        <w:tc>
          <w:tcPr>
            <w:tcW w:w="668" w:type="pct"/>
            <w:vAlign w:val="center"/>
          </w:tcPr>
          <w:p w14:paraId="0EBC622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366ABE4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088E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6EF3F7F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42</w:t>
            </w:r>
          </w:p>
        </w:tc>
        <w:tc>
          <w:tcPr>
            <w:tcW w:w="3580" w:type="pct"/>
            <w:gridSpan w:val="2"/>
            <w:vAlign w:val="center"/>
          </w:tcPr>
          <w:p w14:paraId="040FD444">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发挥平台大数据分析优势，向雄安新区出具全区每年政府采购规模、价格、质量、效率等情况的分析报告，每年年度分析报告提供日期为次年1月底前提供。</w:t>
            </w:r>
          </w:p>
        </w:tc>
        <w:tc>
          <w:tcPr>
            <w:tcW w:w="668" w:type="pct"/>
            <w:vAlign w:val="center"/>
          </w:tcPr>
          <w:p w14:paraId="3CD2880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7D25C4C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0FA3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1233EF5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43</w:t>
            </w:r>
          </w:p>
        </w:tc>
        <w:tc>
          <w:tcPr>
            <w:tcW w:w="1065" w:type="pct"/>
            <w:vAlign w:val="center"/>
          </w:tcPr>
          <w:p w14:paraId="2CD22D5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内外网备案</w:t>
            </w:r>
          </w:p>
        </w:tc>
        <w:tc>
          <w:tcPr>
            <w:tcW w:w="2515" w:type="pct"/>
            <w:vAlign w:val="center"/>
          </w:tcPr>
          <w:p w14:paraId="23CA7177">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根据财政要求，对采购预算、采购计划、订单、合同进行内网备案。</w:t>
            </w:r>
          </w:p>
        </w:tc>
        <w:tc>
          <w:tcPr>
            <w:tcW w:w="668" w:type="pct"/>
            <w:vAlign w:val="center"/>
          </w:tcPr>
          <w:p w14:paraId="52BB7EB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1</w:t>
            </w:r>
          </w:p>
        </w:tc>
        <w:tc>
          <w:tcPr>
            <w:tcW w:w="413" w:type="pct"/>
            <w:vAlign w:val="center"/>
          </w:tcPr>
          <w:p w14:paraId="07D7898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1</w:t>
            </w:r>
          </w:p>
        </w:tc>
      </w:tr>
      <w:tr w14:paraId="2A7C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19B795F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44</w:t>
            </w:r>
          </w:p>
        </w:tc>
        <w:tc>
          <w:tcPr>
            <w:tcW w:w="1065" w:type="pct"/>
            <w:vAlign w:val="center"/>
          </w:tcPr>
          <w:p w14:paraId="5248F1AD">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信息归档</w:t>
            </w:r>
          </w:p>
        </w:tc>
        <w:tc>
          <w:tcPr>
            <w:tcW w:w="2515" w:type="pct"/>
            <w:vAlign w:val="center"/>
          </w:tcPr>
          <w:p w14:paraId="3FBD7369">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对平台的信息数据进行归档，在平台上形成带有水印的相关电子档案，支持按规范格式一键下载，在该功能未实现前由政采云公司负责保管相关档案。并支持代理机构或采购人本地下载。</w:t>
            </w:r>
          </w:p>
        </w:tc>
        <w:tc>
          <w:tcPr>
            <w:tcW w:w="668" w:type="pct"/>
            <w:vAlign w:val="center"/>
          </w:tcPr>
          <w:p w14:paraId="06470AF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0A9F570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A24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1728CAC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45</w:t>
            </w:r>
          </w:p>
        </w:tc>
        <w:tc>
          <w:tcPr>
            <w:tcW w:w="1065" w:type="pct"/>
            <w:vAlign w:val="center"/>
          </w:tcPr>
          <w:p w14:paraId="02B898BF">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特殊事项管理</w:t>
            </w:r>
          </w:p>
        </w:tc>
        <w:tc>
          <w:tcPr>
            <w:tcW w:w="2515" w:type="pct"/>
            <w:vAlign w:val="center"/>
          </w:tcPr>
          <w:p w14:paraId="2787A748">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平台支持引入第三方机构协调纠纷，包括电子卖场（网上超市除外）采购中的拒单、结果取消等，协调不成的按政府采购相关法律法规规定处理。</w:t>
            </w:r>
          </w:p>
        </w:tc>
        <w:tc>
          <w:tcPr>
            <w:tcW w:w="668" w:type="pct"/>
            <w:vAlign w:val="center"/>
          </w:tcPr>
          <w:p w14:paraId="45805D0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7975D5B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741E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68D5A6D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46</w:t>
            </w:r>
          </w:p>
        </w:tc>
        <w:tc>
          <w:tcPr>
            <w:tcW w:w="1065" w:type="pct"/>
            <w:vAlign w:val="center"/>
          </w:tcPr>
          <w:p w14:paraId="1D5DD9CD">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预算管理</w:t>
            </w:r>
          </w:p>
        </w:tc>
        <w:tc>
          <w:tcPr>
            <w:tcW w:w="2515" w:type="pct"/>
            <w:vAlign w:val="center"/>
          </w:tcPr>
          <w:p w14:paraId="4026944E">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对导入的预算指标进行审批等进行权限配置管理。</w:t>
            </w:r>
          </w:p>
        </w:tc>
        <w:tc>
          <w:tcPr>
            <w:tcW w:w="668" w:type="pct"/>
            <w:vAlign w:val="center"/>
          </w:tcPr>
          <w:p w14:paraId="2F6ABC6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0AE483B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7BC0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0542237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47</w:t>
            </w:r>
          </w:p>
        </w:tc>
        <w:tc>
          <w:tcPr>
            <w:tcW w:w="1065" w:type="pct"/>
            <w:vAlign w:val="center"/>
          </w:tcPr>
          <w:p w14:paraId="65C28CD1">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采购计划管理</w:t>
            </w:r>
          </w:p>
        </w:tc>
        <w:tc>
          <w:tcPr>
            <w:tcW w:w="2515" w:type="pct"/>
            <w:vAlign w:val="center"/>
          </w:tcPr>
          <w:p w14:paraId="1C0098F9">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对采购计划的拆分、重复使用、撤销、变更等进行权限配置管理。</w:t>
            </w:r>
          </w:p>
        </w:tc>
        <w:tc>
          <w:tcPr>
            <w:tcW w:w="668" w:type="pct"/>
            <w:vAlign w:val="center"/>
          </w:tcPr>
          <w:p w14:paraId="44A8C35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6EE9707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DE9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6C66A94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48</w:t>
            </w:r>
          </w:p>
        </w:tc>
        <w:tc>
          <w:tcPr>
            <w:tcW w:w="1065" w:type="pct"/>
            <w:vAlign w:val="center"/>
          </w:tcPr>
          <w:p w14:paraId="2ED19B81">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基础库管理</w:t>
            </w:r>
          </w:p>
        </w:tc>
        <w:tc>
          <w:tcPr>
            <w:tcW w:w="2515" w:type="pct"/>
            <w:vAlign w:val="center"/>
          </w:tcPr>
          <w:p w14:paraId="58543A20">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对区划内的代理机构、供应商、商品，专家等的管理权限进行配置。</w:t>
            </w:r>
          </w:p>
        </w:tc>
        <w:tc>
          <w:tcPr>
            <w:tcW w:w="668" w:type="pct"/>
            <w:vAlign w:val="center"/>
          </w:tcPr>
          <w:p w14:paraId="7AA327B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238D1946">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1917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1ED3595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49</w:t>
            </w:r>
          </w:p>
        </w:tc>
        <w:tc>
          <w:tcPr>
            <w:tcW w:w="1065" w:type="pct"/>
            <w:vAlign w:val="center"/>
          </w:tcPr>
          <w:p w14:paraId="5D08F1CA">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协议管理</w:t>
            </w:r>
          </w:p>
        </w:tc>
        <w:tc>
          <w:tcPr>
            <w:tcW w:w="2515" w:type="pct"/>
            <w:vAlign w:val="center"/>
          </w:tcPr>
          <w:p w14:paraId="0B190E50">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对供应商录入的协议以及区划协议引用规则进行权限管理。</w:t>
            </w:r>
          </w:p>
        </w:tc>
        <w:tc>
          <w:tcPr>
            <w:tcW w:w="668" w:type="pct"/>
            <w:vAlign w:val="center"/>
          </w:tcPr>
          <w:p w14:paraId="622ABA8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0D3F7F7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241B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550C434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50</w:t>
            </w:r>
          </w:p>
        </w:tc>
        <w:tc>
          <w:tcPr>
            <w:tcW w:w="1065" w:type="pct"/>
            <w:vAlign w:val="center"/>
          </w:tcPr>
          <w:p w14:paraId="054CA23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公告管理</w:t>
            </w:r>
          </w:p>
        </w:tc>
        <w:tc>
          <w:tcPr>
            <w:tcW w:w="2515" w:type="pct"/>
            <w:vAlign w:val="center"/>
          </w:tcPr>
          <w:p w14:paraId="7DD46FB0">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对各类公告的申请、审批、发布进行权限管理。</w:t>
            </w:r>
          </w:p>
        </w:tc>
        <w:tc>
          <w:tcPr>
            <w:tcW w:w="668" w:type="pct"/>
            <w:vAlign w:val="center"/>
          </w:tcPr>
          <w:p w14:paraId="7992E56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28C30F0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3383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757DE036">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51</w:t>
            </w:r>
          </w:p>
        </w:tc>
        <w:tc>
          <w:tcPr>
            <w:tcW w:w="1065" w:type="pct"/>
            <w:vAlign w:val="center"/>
          </w:tcPr>
          <w:p w14:paraId="42C97387">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区划管理</w:t>
            </w:r>
          </w:p>
        </w:tc>
        <w:tc>
          <w:tcPr>
            <w:tcW w:w="2515" w:type="pct"/>
            <w:vAlign w:val="center"/>
          </w:tcPr>
          <w:p w14:paraId="261888B1">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实现新区本级、区县等多级管理，支持同级、跨级区划审批流程设置。</w:t>
            </w:r>
          </w:p>
        </w:tc>
        <w:tc>
          <w:tcPr>
            <w:tcW w:w="668" w:type="pct"/>
            <w:vAlign w:val="center"/>
          </w:tcPr>
          <w:p w14:paraId="0E780CA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4E31901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79E8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1FDC7A6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52</w:t>
            </w:r>
          </w:p>
        </w:tc>
        <w:tc>
          <w:tcPr>
            <w:tcW w:w="1065" w:type="pct"/>
            <w:vAlign w:val="center"/>
          </w:tcPr>
          <w:p w14:paraId="6D6F5C17">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机构管理</w:t>
            </w:r>
          </w:p>
        </w:tc>
        <w:tc>
          <w:tcPr>
            <w:tcW w:w="2515" w:type="pct"/>
            <w:vAlign w:val="center"/>
          </w:tcPr>
          <w:p w14:paraId="22804653">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实现财政监管单位、采购人、供应商各机构分角色管理。需支持机构内部分部门管理。</w:t>
            </w:r>
          </w:p>
        </w:tc>
        <w:tc>
          <w:tcPr>
            <w:tcW w:w="668" w:type="pct"/>
            <w:vAlign w:val="center"/>
          </w:tcPr>
          <w:p w14:paraId="4A50F6B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275F8CF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3B95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0087A90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53</w:t>
            </w:r>
          </w:p>
        </w:tc>
        <w:tc>
          <w:tcPr>
            <w:tcW w:w="1065" w:type="pct"/>
            <w:vAlign w:val="center"/>
          </w:tcPr>
          <w:p w14:paraId="4FA5907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组织管理</w:t>
            </w:r>
          </w:p>
        </w:tc>
        <w:tc>
          <w:tcPr>
            <w:tcW w:w="2515" w:type="pct"/>
            <w:vAlign w:val="center"/>
          </w:tcPr>
          <w:p w14:paraId="7807CA4F">
            <w:pPr>
              <w:spacing w:line="0" w:lineRule="atLeast"/>
              <w:jc w:val="both"/>
              <w:rPr>
                <w:rFonts w:ascii="Times New Roman" w:hAnsi="Times New Roman" w:eastAsia="宋体" w:cs="Times New Roman"/>
                <w:szCs w:val="21"/>
                <w:highlight w:val="none"/>
              </w:rPr>
            </w:pPr>
            <w:r>
              <w:rPr>
                <w:rFonts w:ascii="Times New Roman" w:hAnsi="Times New Roman" w:eastAsia="宋体" w:cs="Times New Roman"/>
                <w:color w:val="000000"/>
                <w:szCs w:val="21"/>
                <w:highlight w:val="none"/>
              </w:rPr>
              <w:t>需支持各机构分角色、分组织管理，各组织权限可独立分配。</w:t>
            </w:r>
          </w:p>
        </w:tc>
        <w:tc>
          <w:tcPr>
            <w:tcW w:w="668" w:type="pct"/>
            <w:vAlign w:val="center"/>
          </w:tcPr>
          <w:p w14:paraId="4E196805">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413" w:type="pct"/>
            <w:vAlign w:val="center"/>
          </w:tcPr>
          <w:p w14:paraId="33838F6A">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0251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689CD14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 xml:space="preserve">  54</w:t>
            </w:r>
          </w:p>
        </w:tc>
        <w:tc>
          <w:tcPr>
            <w:tcW w:w="1065" w:type="pct"/>
            <w:vAlign w:val="center"/>
          </w:tcPr>
          <w:p w14:paraId="55FEA53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权限管理</w:t>
            </w:r>
          </w:p>
        </w:tc>
        <w:tc>
          <w:tcPr>
            <w:tcW w:w="2515" w:type="pct"/>
            <w:vAlign w:val="center"/>
          </w:tcPr>
          <w:p w14:paraId="71F4DD85">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需支持按角色定义查询、申请、审批权限，及灵活的权限配置功能和灵活的审批权限设置。</w:t>
            </w:r>
          </w:p>
        </w:tc>
        <w:tc>
          <w:tcPr>
            <w:tcW w:w="668" w:type="pct"/>
            <w:vAlign w:val="center"/>
          </w:tcPr>
          <w:p w14:paraId="05E4C69D">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413" w:type="pct"/>
            <w:vAlign w:val="center"/>
          </w:tcPr>
          <w:p w14:paraId="065AB311">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217A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345DB90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55</w:t>
            </w:r>
          </w:p>
        </w:tc>
        <w:tc>
          <w:tcPr>
            <w:tcW w:w="1065" w:type="pct"/>
            <w:vAlign w:val="center"/>
          </w:tcPr>
          <w:p w14:paraId="19180CF3">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业务规则配置</w:t>
            </w:r>
          </w:p>
        </w:tc>
        <w:tc>
          <w:tcPr>
            <w:tcW w:w="2515" w:type="pct"/>
            <w:vAlign w:val="center"/>
          </w:tcPr>
          <w:p w14:paraId="06921880">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需支持新区本级、区县等多级通过分业务的配置规则，快速满足各地管理上的差异</w:t>
            </w:r>
          </w:p>
        </w:tc>
        <w:tc>
          <w:tcPr>
            <w:tcW w:w="668" w:type="pct"/>
            <w:vAlign w:val="center"/>
          </w:tcPr>
          <w:p w14:paraId="2C3B4940">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413" w:type="pct"/>
            <w:vAlign w:val="center"/>
          </w:tcPr>
          <w:p w14:paraId="43D665BC">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6CE8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0A2F325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56</w:t>
            </w:r>
          </w:p>
        </w:tc>
        <w:tc>
          <w:tcPr>
            <w:tcW w:w="1065" w:type="pct"/>
            <w:vAlign w:val="center"/>
          </w:tcPr>
          <w:p w14:paraId="4E564CA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CA集成</w:t>
            </w:r>
          </w:p>
        </w:tc>
        <w:tc>
          <w:tcPr>
            <w:tcW w:w="2515" w:type="pct"/>
            <w:vAlign w:val="center"/>
          </w:tcPr>
          <w:p w14:paraId="11809529">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与主流CA供应商驱动对，并对客户端驱动自动扫描程序封装。</w:t>
            </w:r>
          </w:p>
        </w:tc>
        <w:tc>
          <w:tcPr>
            <w:tcW w:w="668" w:type="pct"/>
            <w:vAlign w:val="center"/>
          </w:tcPr>
          <w:p w14:paraId="1738C3E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3</w:t>
            </w:r>
          </w:p>
        </w:tc>
        <w:tc>
          <w:tcPr>
            <w:tcW w:w="413" w:type="pct"/>
            <w:vAlign w:val="center"/>
          </w:tcPr>
          <w:p w14:paraId="0E9F480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3</w:t>
            </w:r>
          </w:p>
        </w:tc>
      </w:tr>
      <w:tr w14:paraId="265F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1C6FF1E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57</w:t>
            </w:r>
          </w:p>
        </w:tc>
        <w:tc>
          <w:tcPr>
            <w:tcW w:w="1065" w:type="pct"/>
            <w:vAlign w:val="center"/>
          </w:tcPr>
          <w:p w14:paraId="1370A244">
            <w:pPr>
              <w:spacing w:line="0" w:lineRule="atLeast"/>
              <w:rPr>
                <w:rFonts w:ascii="Times New Roman" w:hAnsi="Times New Roman" w:eastAsia="宋体" w:cs="Times New Roman"/>
                <w:szCs w:val="21"/>
                <w:highlight w:val="none"/>
              </w:rPr>
            </w:pPr>
            <w:r>
              <w:rPr>
                <w:rFonts w:ascii="Times New Roman" w:hAnsi="Times New Roman" w:eastAsia="宋体" w:cs="Times New Roman"/>
                <w:color w:val="000000"/>
                <w:szCs w:val="21"/>
                <w:highlight w:val="none"/>
              </w:rPr>
              <w:t>CA驱动管理</w:t>
            </w:r>
          </w:p>
        </w:tc>
        <w:tc>
          <w:tcPr>
            <w:tcW w:w="2515" w:type="pct"/>
            <w:vAlign w:val="center"/>
          </w:tcPr>
          <w:p w14:paraId="36D3FBA8">
            <w:pPr>
              <w:spacing w:line="0" w:lineRule="atLeast"/>
              <w:jc w:val="both"/>
              <w:rPr>
                <w:rFonts w:ascii="Times New Roman" w:hAnsi="Times New Roman" w:eastAsia="宋体" w:cs="Times New Roman"/>
                <w:szCs w:val="21"/>
                <w:highlight w:val="none"/>
              </w:rPr>
            </w:pPr>
            <w:r>
              <w:rPr>
                <w:rFonts w:ascii="Times New Roman" w:hAnsi="Times New Roman" w:eastAsia="宋体" w:cs="Times New Roman"/>
                <w:color w:val="000000"/>
                <w:szCs w:val="21"/>
                <w:highlight w:val="none"/>
              </w:rPr>
              <w:t>管理多家CA驱动程序，管理各CA相关用户、功能、区划。</w:t>
            </w:r>
          </w:p>
        </w:tc>
        <w:tc>
          <w:tcPr>
            <w:tcW w:w="668" w:type="pct"/>
            <w:vAlign w:val="center"/>
          </w:tcPr>
          <w:p w14:paraId="633C2DB5">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3</w:t>
            </w:r>
          </w:p>
        </w:tc>
        <w:tc>
          <w:tcPr>
            <w:tcW w:w="413" w:type="pct"/>
            <w:vAlign w:val="center"/>
          </w:tcPr>
          <w:p w14:paraId="1909FA64">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3</w:t>
            </w:r>
          </w:p>
        </w:tc>
      </w:tr>
      <w:tr w14:paraId="52A9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2591E41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58</w:t>
            </w:r>
          </w:p>
        </w:tc>
        <w:tc>
          <w:tcPr>
            <w:tcW w:w="1065" w:type="pct"/>
            <w:vAlign w:val="center"/>
          </w:tcPr>
          <w:p w14:paraId="57ABF4B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CA申领管理</w:t>
            </w:r>
          </w:p>
        </w:tc>
        <w:tc>
          <w:tcPr>
            <w:tcW w:w="2515" w:type="pct"/>
            <w:vAlign w:val="center"/>
          </w:tcPr>
          <w:p w14:paraId="3D4157F2">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CA的实名认证与在线申领管理。</w:t>
            </w:r>
          </w:p>
        </w:tc>
        <w:tc>
          <w:tcPr>
            <w:tcW w:w="668" w:type="pct"/>
            <w:vAlign w:val="center"/>
          </w:tcPr>
          <w:p w14:paraId="247B135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3</w:t>
            </w:r>
          </w:p>
        </w:tc>
        <w:tc>
          <w:tcPr>
            <w:tcW w:w="413" w:type="pct"/>
            <w:vAlign w:val="center"/>
          </w:tcPr>
          <w:p w14:paraId="5BB8D2A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3</w:t>
            </w:r>
          </w:p>
        </w:tc>
      </w:tr>
      <w:tr w14:paraId="637D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39" w:type="pct"/>
            <w:vAlign w:val="center"/>
          </w:tcPr>
          <w:p w14:paraId="0811EC24">
            <w:pPr>
              <w:rPr>
                <w:rFonts w:ascii="Times New Roman" w:hAnsi="Times New Roman" w:eastAsia="宋体" w:cs="Times New Roman"/>
                <w:szCs w:val="21"/>
                <w:highlight w:val="none"/>
              </w:rPr>
            </w:pPr>
            <w:r>
              <w:rPr>
                <w:rFonts w:ascii="Times New Roman" w:hAnsi="Times New Roman" w:eastAsia="宋体" w:cs="Times New Roman"/>
                <w:szCs w:val="21"/>
                <w:highlight w:val="none"/>
              </w:rPr>
              <w:t>59</w:t>
            </w:r>
          </w:p>
        </w:tc>
        <w:tc>
          <w:tcPr>
            <w:tcW w:w="1065" w:type="pct"/>
            <w:vAlign w:val="center"/>
          </w:tcPr>
          <w:p w14:paraId="49BFEDA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CA登录</w:t>
            </w:r>
          </w:p>
        </w:tc>
        <w:tc>
          <w:tcPr>
            <w:tcW w:w="2515" w:type="pct"/>
            <w:vAlign w:val="center"/>
          </w:tcPr>
          <w:p w14:paraId="170F12C5">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CA登录集成。</w:t>
            </w:r>
          </w:p>
        </w:tc>
        <w:tc>
          <w:tcPr>
            <w:tcW w:w="668" w:type="pct"/>
            <w:vAlign w:val="center"/>
          </w:tcPr>
          <w:p w14:paraId="37A5B04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3</w:t>
            </w:r>
          </w:p>
        </w:tc>
        <w:tc>
          <w:tcPr>
            <w:tcW w:w="413" w:type="pct"/>
            <w:vAlign w:val="center"/>
          </w:tcPr>
          <w:p w14:paraId="7AACDF1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3</w:t>
            </w:r>
          </w:p>
        </w:tc>
      </w:tr>
      <w:tr w14:paraId="38F1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6C6C3F0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60</w:t>
            </w:r>
          </w:p>
        </w:tc>
        <w:tc>
          <w:tcPr>
            <w:tcW w:w="1065" w:type="pct"/>
            <w:vAlign w:val="center"/>
          </w:tcPr>
          <w:p w14:paraId="7344078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CA签章</w:t>
            </w:r>
          </w:p>
        </w:tc>
        <w:tc>
          <w:tcPr>
            <w:tcW w:w="2515" w:type="pct"/>
            <w:vAlign w:val="center"/>
          </w:tcPr>
          <w:p w14:paraId="09A87739">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通过CA签章，包括公章、法人章，在指定区域盖章、逐页盖章、骑缝章等。</w:t>
            </w:r>
          </w:p>
        </w:tc>
        <w:tc>
          <w:tcPr>
            <w:tcW w:w="668" w:type="pct"/>
            <w:vAlign w:val="center"/>
          </w:tcPr>
          <w:p w14:paraId="71DE7F3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3</w:t>
            </w:r>
          </w:p>
        </w:tc>
        <w:tc>
          <w:tcPr>
            <w:tcW w:w="413" w:type="pct"/>
            <w:vAlign w:val="center"/>
          </w:tcPr>
          <w:p w14:paraId="1948971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3</w:t>
            </w:r>
          </w:p>
        </w:tc>
      </w:tr>
      <w:tr w14:paraId="763E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39B27EC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61</w:t>
            </w:r>
          </w:p>
        </w:tc>
        <w:tc>
          <w:tcPr>
            <w:tcW w:w="1065" w:type="pct"/>
            <w:vAlign w:val="center"/>
          </w:tcPr>
          <w:p w14:paraId="64C471E6">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CA加解密</w:t>
            </w:r>
          </w:p>
        </w:tc>
        <w:tc>
          <w:tcPr>
            <w:tcW w:w="2515" w:type="pct"/>
            <w:vAlign w:val="center"/>
          </w:tcPr>
          <w:p w14:paraId="302999F1">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通过CA对已完成的响应文件进行加密，以及开标时的文件解密。</w:t>
            </w:r>
          </w:p>
        </w:tc>
        <w:tc>
          <w:tcPr>
            <w:tcW w:w="668" w:type="pct"/>
            <w:vAlign w:val="center"/>
          </w:tcPr>
          <w:p w14:paraId="317B490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3</w:t>
            </w:r>
          </w:p>
        </w:tc>
        <w:tc>
          <w:tcPr>
            <w:tcW w:w="413" w:type="pct"/>
            <w:vAlign w:val="center"/>
          </w:tcPr>
          <w:p w14:paraId="6C8D935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3</w:t>
            </w:r>
          </w:p>
        </w:tc>
      </w:tr>
      <w:tr w14:paraId="6449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9" w:type="pct"/>
            <w:vAlign w:val="center"/>
          </w:tcPr>
          <w:p w14:paraId="00CC8F8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62</w:t>
            </w:r>
          </w:p>
        </w:tc>
        <w:tc>
          <w:tcPr>
            <w:tcW w:w="1065" w:type="pct"/>
            <w:vAlign w:val="center"/>
          </w:tcPr>
          <w:p w14:paraId="20D8D26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开放平台</w:t>
            </w:r>
          </w:p>
        </w:tc>
        <w:tc>
          <w:tcPr>
            <w:tcW w:w="2515" w:type="pct"/>
            <w:vAlign w:val="center"/>
          </w:tcPr>
          <w:p w14:paraId="7AD27343">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具备可访问的开放平台门户，为外部系统对接提供采购公告、结果公告、合同公告的标准接口，供接入方获取对接方案和各接口说明。现有接口还包括：财政内网、预算系统、国库支付系统。</w:t>
            </w:r>
          </w:p>
        </w:tc>
        <w:tc>
          <w:tcPr>
            <w:tcW w:w="668" w:type="pct"/>
            <w:vAlign w:val="center"/>
          </w:tcPr>
          <w:p w14:paraId="7324F26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14E25F7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0563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0204990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63</w:t>
            </w:r>
          </w:p>
        </w:tc>
        <w:tc>
          <w:tcPr>
            <w:tcW w:w="1065" w:type="pct"/>
            <w:vAlign w:val="center"/>
          </w:tcPr>
          <w:p w14:paraId="6DFE2D9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账号分配</w:t>
            </w:r>
          </w:p>
        </w:tc>
        <w:tc>
          <w:tcPr>
            <w:tcW w:w="2515" w:type="pct"/>
            <w:vAlign w:val="center"/>
          </w:tcPr>
          <w:p w14:paraId="410AA2E7">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为每个接入系统提供访问账号和密码，确保访问安全。</w:t>
            </w:r>
          </w:p>
        </w:tc>
        <w:tc>
          <w:tcPr>
            <w:tcW w:w="668" w:type="pct"/>
            <w:vAlign w:val="center"/>
          </w:tcPr>
          <w:p w14:paraId="36249EE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3391A1A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0D4D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5F29C3E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64</w:t>
            </w:r>
          </w:p>
        </w:tc>
        <w:tc>
          <w:tcPr>
            <w:tcW w:w="1065" w:type="pct"/>
            <w:vAlign w:val="center"/>
          </w:tcPr>
          <w:p w14:paraId="31346936">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采购单位创建</w:t>
            </w:r>
          </w:p>
        </w:tc>
        <w:tc>
          <w:tcPr>
            <w:tcW w:w="2515" w:type="pct"/>
            <w:vAlign w:val="center"/>
          </w:tcPr>
          <w:p w14:paraId="5491D7F2">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平台支持由区划管理员创建采购单位，填写法人信息、联系人信息，并创建管理员账号。</w:t>
            </w:r>
          </w:p>
        </w:tc>
        <w:tc>
          <w:tcPr>
            <w:tcW w:w="668" w:type="pct"/>
            <w:vAlign w:val="center"/>
          </w:tcPr>
          <w:p w14:paraId="56EC357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093430B6">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3F5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3E6039A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65</w:t>
            </w:r>
          </w:p>
        </w:tc>
        <w:tc>
          <w:tcPr>
            <w:tcW w:w="1065" w:type="pct"/>
            <w:vAlign w:val="center"/>
          </w:tcPr>
          <w:p w14:paraId="65DB02C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采购单位</w:t>
            </w:r>
          </w:p>
          <w:p w14:paraId="3E68B15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账号管理</w:t>
            </w:r>
          </w:p>
        </w:tc>
        <w:tc>
          <w:tcPr>
            <w:tcW w:w="2515" w:type="pct"/>
            <w:vAlign w:val="center"/>
          </w:tcPr>
          <w:p w14:paraId="15247D61">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采购单位管理员可创建本单位的新账号，并设置权限。</w:t>
            </w:r>
          </w:p>
        </w:tc>
        <w:tc>
          <w:tcPr>
            <w:tcW w:w="668" w:type="pct"/>
            <w:vAlign w:val="center"/>
          </w:tcPr>
          <w:p w14:paraId="11F5BE1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324767B6">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2AC9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2DAAE01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66</w:t>
            </w:r>
          </w:p>
        </w:tc>
        <w:tc>
          <w:tcPr>
            <w:tcW w:w="1065" w:type="pct"/>
            <w:vAlign w:val="center"/>
          </w:tcPr>
          <w:p w14:paraId="57B72541">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采购单位</w:t>
            </w:r>
          </w:p>
          <w:p w14:paraId="0C48512A">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账号导入</w:t>
            </w:r>
          </w:p>
        </w:tc>
        <w:tc>
          <w:tcPr>
            <w:tcW w:w="2515" w:type="pct"/>
            <w:vAlign w:val="center"/>
          </w:tcPr>
          <w:p w14:paraId="1B4BFEA6">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采购人批量导入，导入包括采购人基本资料、组织架构等信息。</w:t>
            </w:r>
          </w:p>
        </w:tc>
        <w:tc>
          <w:tcPr>
            <w:tcW w:w="668" w:type="pct"/>
            <w:vAlign w:val="center"/>
          </w:tcPr>
          <w:p w14:paraId="38C4703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51DEB71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6B3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7676654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67</w:t>
            </w:r>
          </w:p>
        </w:tc>
        <w:tc>
          <w:tcPr>
            <w:tcW w:w="1065" w:type="pct"/>
            <w:vAlign w:val="center"/>
          </w:tcPr>
          <w:p w14:paraId="48903811">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专家注册</w:t>
            </w:r>
          </w:p>
        </w:tc>
        <w:tc>
          <w:tcPr>
            <w:tcW w:w="2515" w:type="pct"/>
            <w:vAlign w:val="center"/>
          </w:tcPr>
          <w:p w14:paraId="64AE3F9B">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支持专家录入个人基本信息、联系方式、专业、回避信息等内容，完成注册</w:t>
            </w:r>
          </w:p>
        </w:tc>
        <w:tc>
          <w:tcPr>
            <w:tcW w:w="668" w:type="pct"/>
            <w:vAlign w:val="center"/>
          </w:tcPr>
          <w:p w14:paraId="5D85AC2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4</w:t>
            </w:r>
          </w:p>
        </w:tc>
        <w:tc>
          <w:tcPr>
            <w:tcW w:w="413" w:type="pct"/>
            <w:vAlign w:val="center"/>
          </w:tcPr>
          <w:p w14:paraId="0D949D9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4</w:t>
            </w:r>
          </w:p>
        </w:tc>
      </w:tr>
      <w:tr w14:paraId="0146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0D7E31D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68</w:t>
            </w:r>
          </w:p>
        </w:tc>
        <w:tc>
          <w:tcPr>
            <w:tcW w:w="1065" w:type="pct"/>
            <w:vAlign w:val="center"/>
          </w:tcPr>
          <w:p w14:paraId="1BD14D2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专家审批</w:t>
            </w:r>
          </w:p>
        </w:tc>
        <w:tc>
          <w:tcPr>
            <w:tcW w:w="2515" w:type="pct"/>
            <w:vAlign w:val="center"/>
          </w:tcPr>
          <w:p w14:paraId="6EE1B901">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可支持专家资格多级审批。</w:t>
            </w:r>
          </w:p>
        </w:tc>
        <w:tc>
          <w:tcPr>
            <w:tcW w:w="668" w:type="pct"/>
            <w:vAlign w:val="center"/>
          </w:tcPr>
          <w:p w14:paraId="232A526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4</w:t>
            </w:r>
          </w:p>
        </w:tc>
        <w:tc>
          <w:tcPr>
            <w:tcW w:w="413" w:type="pct"/>
            <w:vAlign w:val="center"/>
          </w:tcPr>
          <w:p w14:paraId="562F491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4</w:t>
            </w:r>
          </w:p>
        </w:tc>
      </w:tr>
      <w:tr w14:paraId="7657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5EE2AEF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69</w:t>
            </w:r>
          </w:p>
        </w:tc>
        <w:tc>
          <w:tcPr>
            <w:tcW w:w="1065" w:type="pct"/>
            <w:vAlign w:val="center"/>
          </w:tcPr>
          <w:p w14:paraId="7572B9D6">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专家引用</w:t>
            </w:r>
          </w:p>
        </w:tc>
        <w:tc>
          <w:tcPr>
            <w:tcW w:w="2515" w:type="pct"/>
            <w:vAlign w:val="center"/>
          </w:tcPr>
          <w:p w14:paraId="2A18CE38">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支持跨区划引用、调用专家库的功能</w:t>
            </w:r>
          </w:p>
        </w:tc>
        <w:tc>
          <w:tcPr>
            <w:tcW w:w="668" w:type="pct"/>
            <w:vAlign w:val="center"/>
          </w:tcPr>
          <w:p w14:paraId="476D73C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4</w:t>
            </w:r>
          </w:p>
        </w:tc>
        <w:tc>
          <w:tcPr>
            <w:tcW w:w="413" w:type="pct"/>
            <w:vAlign w:val="center"/>
          </w:tcPr>
          <w:p w14:paraId="3F8052E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4</w:t>
            </w:r>
          </w:p>
        </w:tc>
      </w:tr>
      <w:tr w14:paraId="5EAB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3FA1798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70</w:t>
            </w:r>
          </w:p>
        </w:tc>
        <w:tc>
          <w:tcPr>
            <w:tcW w:w="1065" w:type="pct"/>
            <w:vAlign w:val="center"/>
          </w:tcPr>
          <w:p w14:paraId="6518AD8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专家抽取</w:t>
            </w:r>
          </w:p>
        </w:tc>
        <w:tc>
          <w:tcPr>
            <w:tcW w:w="2515" w:type="pct"/>
            <w:vAlign w:val="center"/>
          </w:tcPr>
          <w:p w14:paraId="1AB8A3AD">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支持专家抽取方案配置，方案内容包括评审人数、评审专业、抽取方式（自行抽取、自行组建、推荐抽取），并设置回避单位以及回避专家。</w:t>
            </w:r>
          </w:p>
        </w:tc>
        <w:tc>
          <w:tcPr>
            <w:tcW w:w="668" w:type="pct"/>
            <w:vAlign w:val="center"/>
          </w:tcPr>
          <w:p w14:paraId="2D1A248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4</w:t>
            </w:r>
          </w:p>
        </w:tc>
        <w:tc>
          <w:tcPr>
            <w:tcW w:w="413" w:type="pct"/>
            <w:vAlign w:val="center"/>
          </w:tcPr>
          <w:p w14:paraId="4825ACE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4</w:t>
            </w:r>
          </w:p>
        </w:tc>
      </w:tr>
      <w:tr w14:paraId="2BCA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43BDA57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71</w:t>
            </w:r>
          </w:p>
        </w:tc>
        <w:tc>
          <w:tcPr>
            <w:tcW w:w="1065" w:type="pct"/>
            <w:vAlign w:val="center"/>
          </w:tcPr>
          <w:p w14:paraId="6843F996">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抽取专家审核</w:t>
            </w:r>
          </w:p>
        </w:tc>
        <w:tc>
          <w:tcPr>
            <w:tcW w:w="2515" w:type="pct"/>
            <w:vAlign w:val="center"/>
          </w:tcPr>
          <w:p w14:paraId="0FAB64BE">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设置采购中心审批岗、采购监管部门对各项目专家抽取规则进行审批，通过后系统自动进行抽取。同时支持各类自行组建专家的抽取审批。支持监管部门、采购人对各项目专家抽取方案进行审核，审批通过后系统自动进行抽取。可针对不同的抽取方式配置对应的审批流程。支持专家人数不足情况下的补抽补录。</w:t>
            </w:r>
          </w:p>
        </w:tc>
        <w:tc>
          <w:tcPr>
            <w:tcW w:w="668" w:type="pct"/>
            <w:vAlign w:val="center"/>
          </w:tcPr>
          <w:p w14:paraId="46C52E7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4</w:t>
            </w:r>
          </w:p>
        </w:tc>
        <w:tc>
          <w:tcPr>
            <w:tcW w:w="413" w:type="pct"/>
            <w:vAlign w:val="center"/>
          </w:tcPr>
          <w:p w14:paraId="4329E76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4</w:t>
            </w:r>
          </w:p>
        </w:tc>
      </w:tr>
      <w:tr w14:paraId="14BC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050E5D6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72</w:t>
            </w:r>
          </w:p>
        </w:tc>
        <w:tc>
          <w:tcPr>
            <w:tcW w:w="1065" w:type="pct"/>
            <w:vAlign w:val="center"/>
          </w:tcPr>
          <w:p w14:paraId="6EB362CA">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抽取结果管理</w:t>
            </w:r>
          </w:p>
        </w:tc>
        <w:tc>
          <w:tcPr>
            <w:tcW w:w="2515" w:type="pct"/>
            <w:vAlign w:val="center"/>
          </w:tcPr>
          <w:p w14:paraId="67C78C24">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支持向抽中的专家发送短信和语音电话通知。支持抽取发起人查看专家抽取结果，可查看信息包括但不限于抽取方案、专家信息、抽取记录。</w:t>
            </w:r>
          </w:p>
        </w:tc>
        <w:tc>
          <w:tcPr>
            <w:tcW w:w="668" w:type="pct"/>
            <w:vAlign w:val="center"/>
          </w:tcPr>
          <w:p w14:paraId="216F0CF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122099C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5034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5E962E2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73</w:t>
            </w:r>
          </w:p>
        </w:tc>
        <w:tc>
          <w:tcPr>
            <w:tcW w:w="1065" w:type="pct"/>
            <w:vAlign w:val="center"/>
          </w:tcPr>
          <w:p w14:paraId="5FB3FB5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专家通知管理</w:t>
            </w:r>
          </w:p>
        </w:tc>
        <w:tc>
          <w:tcPr>
            <w:tcW w:w="2515" w:type="pct"/>
            <w:vAlign w:val="center"/>
          </w:tcPr>
          <w:p w14:paraId="07078506">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通过配置向抽中的专家发送语音、短信，并可对通知时间、内容进行设置。</w:t>
            </w:r>
          </w:p>
        </w:tc>
        <w:tc>
          <w:tcPr>
            <w:tcW w:w="668" w:type="pct"/>
            <w:vAlign w:val="center"/>
          </w:tcPr>
          <w:p w14:paraId="7504DE66">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4</w:t>
            </w:r>
          </w:p>
        </w:tc>
        <w:tc>
          <w:tcPr>
            <w:tcW w:w="413" w:type="pct"/>
            <w:vAlign w:val="center"/>
          </w:tcPr>
          <w:p w14:paraId="36563BC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4</w:t>
            </w:r>
          </w:p>
        </w:tc>
      </w:tr>
      <w:tr w14:paraId="097F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2DB3E3A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74</w:t>
            </w:r>
          </w:p>
        </w:tc>
        <w:tc>
          <w:tcPr>
            <w:tcW w:w="1065" w:type="pct"/>
            <w:vAlign w:val="center"/>
          </w:tcPr>
          <w:p w14:paraId="483F184D">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专家请假管理</w:t>
            </w:r>
          </w:p>
        </w:tc>
        <w:tc>
          <w:tcPr>
            <w:tcW w:w="2515" w:type="pct"/>
            <w:vAlign w:val="center"/>
          </w:tcPr>
          <w:p w14:paraId="50961264">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在开标前，采购中心及采购代理机构可根据专家唯一评标标识码为抽中的专家请假。</w:t>
            </w:r>
          </w:p>
        </w:tc>
        <w:tc>
          <w:tcPr>
            <w:tcW w:w="668" w:type="pct"/>
            <w:vAlign w:val="center"/>
          </w:tcPr>
          <w:p w14:paraId="12B4399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4</w:t>
            </w:r>
          </w:p>
        </w:tc>
        <w:tc>
          <w:tcPr>
            <w:tcW w:w="413" w:type="pct"/>
            <w:vAlign w:val="center"/>
          </w:tcPr>
          <w:p w14:paraId="3137052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r>
              <w:rPr>
                <w:rFonts w:ascii="Times New Roman" w:hAnsi="Times New Roman" w:eastAsia="宋体" w:cs="Times New Roman"/>
                <w:szCs w:val="21"/>
                <w:highlight w:val="none"/>
                <w:vertAlign w:val="superscript"/>
              </w:rPr>
              <w:t>4</w:t>
            </w:r>
          </w:p>
        </w:tc>
      </w:tr>
      <w:tr w14:paraId="79A5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4646973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75</w:t>
            </w:r>
          </w:p>
        </w:tc>
        <w:tc>
          <w:tcPr>
            <w:tcW w:w="1065" w:type="pct"/>
            <w:vAlign w:val="center"/>
          </w:tcPr>
          <w:p w14:paraId="2D18E47F">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代抽项目管理</w:t>
            </w:r>
          </w:p>
        </w:tc>
        <w:tc>
          <w:tcPr>
            <w:tcW w:w="2515" w:type="pct"/>
            <w:vAlign w:val="center"/>
          </w:tcPr>
          <w:p w14:paraId="0D33E95F">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新增、查看由采购中心代理某项目设置抽取项目专家规则。</w:t>
            </w:r>
          </w:p>
        </w:tc>
        <w:tc>
          <w:tcPr>
            <w:tcW w:w="668" w:type="pct"/>
            <w:vAlign w:val="center"/>
          </w:tcPr>
          <w:p w14:paraId="29FCB34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2FF62F2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022B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6C2A818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76</w:t>
            </w:r>
          </w:p>
        </w:tc>
        <w:tc>
          <w:tcPr>
            <w:tcW w:w="1065" w:type="pct"/>
            <w:vAlign w:val="center"/>
          </w:tcPr>
          <w:p w14:paraId="1333479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代抽专家管理</w:t>
            </w:r>
          </w:p>
        </w:tc>
        <w:tc>
          <w:tcPr>
            <w:tcW w:w="2515" w:type="pct"/>
            <w:vAlign w:val="center"/>
          </w:tcPr>
          <w:p w14:paraId="012CF94F">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支持为非政采云平台创建的采购项目抽取专家。</w:t>
            </w:r>
          </w:p>
        </w:tc>
        <w:tc>
          <w:tcPr>
            <w:tcW w:w="668" w:type="pct"/>
            <w:vAlign w:val="center"/>
          </w:tcPr>
          <w:p w14:paraId="45F4FB2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5C0A330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2373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vAlign w:val="center"/>
          </w:tcPr>
          <w:p w14:paraId="451FE672">
            <w:pPr>
              <w:spacing w:line="0" w:lineRule="atLeast"/>
              <w:jc w:val="both"/>
              <w:rPr>
                <w:rFonts w:ascii="Times New Roman" w:hAnsi="Times New Roman" w:eastAsia="宋体" w:cs="Times New Roman"/>
                <w:szCs w:val="21"/>
                <w:highlight w:val="none"/>
              </w:rPr>
            </w:pPr>
            <w:r>
              <w:rPr>
                <w:rFonts w:ascii="Times New Roman" w:hAnsi="Times New Roman" w:eastAsia="宋体" w:cs="Times New Roman"/>
                <w:szCs w:val="21"/>
                <w:highlight w:val="none"/>
              </w:rPr>
              <w:t>序号67至76为平台功能，后续专家库启用功能需根据与河北省专家库对接情况选择功能</w:t>
            </w:r>
          </w:p>
        </w:tc>
      </w:tr>
      <w:tr w14:paraId="774C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2ECEC86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77</w:t>
            </w:r>
          </w:p>
        </w:tc>
        <w:tc>
          <w:tcPr>
            <w:tcW w:w="1065" w:type="pct"/>
            <w:vAlign w:val="center"/>
          </w:tcPr>
          <w:p w14:paraId="14324C5E">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代理机构登记</w:t>
            </w:r>
          </w:p>
        </w:tc>
        <w:tc>
          <w:tcPr>
            <w:tcW w:w="2515" w:type="pct"/>
            <w:vAlign w:val="center"/>
          </w:tcPr>
          <w:p w14:paraId="7E359284">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代理机构录入本单位基础信息、人员信息、案例信息、场地信息等内容。经财政审核后可在区划开展业务。</w:t>
            </w:r>
          </w:p>
        </w:tc>
        <w:tc>
          <w:tcPr>
            <w:tcW w:w="668" w:type="pct"/>
            <w:vAlign w:val="center"/>
          </w:tcPr>
          <w:p w14:paraId="715B687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329C045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4FD6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15A9960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78</w:t>
            </w:r>
          </w:p>
        </w:tc>
        <w:tc>
          <w:tcPr>
            <w:tcW w:w="1065" w:type="pct"/>
            <w:vAlign w:val="center"/>
          </w:tcPr>
          <w:p w14:paraId="10DD1DA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代理机构公示</w:t>
            </w:r>
          </w:p>
        </w:tc>
        <w:tc>
          <w:tcPr>
            <w:tcW w:w="2515" w:type="pct"/>
            <w:vAlign w:val="center"/>
          </w:tcPr>
          <w:p w14:paraId="4105ED48">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提供代理机构信息公示。</w:t>
            </w:r>
          </w:p>
        </w:tc>
        <w:tc>
          <w:tcPr>
            <w:tcW w:w="668" w:type="pct"/>
            <w:vAlign w:val="center"/>
          </w:tcPr>
          <w:p w14:paraId="1294A70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2ADFDB2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4159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0D5E2A2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79</w:t>
            </w:r>
          </w:p>
        </w:tc>
        <w:tc>
          <w:tcPr>
            <w:tcW w:w="1065" w:type="pct"/>
            <w:vAlign w:val="center"/>
          </w:tcPr>
          <w:p w14:paraId="39FAD165">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不良行为公示</w:t>
            </w:r>
          </w:p>
        </w:tc>
        <w:tc>
          <w:tcPr>
            <w:tcW w:w="2515" w:type="pct"/>
            <w:vAlign w:val="center"/>
          </w:tcPr>
          <w:p w14:paraId="13EAE7EF">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提供代理机构不良行为公示。</w:t>
            </w:r>
          </w:p>
        </w:tc>
        <w:tc>
          <w:tcPr>
            <w:tcW w:w="668" w:type="pct"/>
            <w:vAlign w:val="center"/>
          </w:tcPr>
          <w:p w14:paraId="71E663D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0FD3312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081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5096173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80</w:t>
            </w:r>
          </w:p>
        </w:tc>
        <w:tc>
          <w:tcPr>
            <w:tcW w:w="1065" w:type="pct"/>
            <w:vAlign w:val="center"/>
          </w:tcPr>
          <w:p w14:paraId="13B1AB3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代理机构审批</w:t>
            </w:r>
          </w:p>
        </w:tc>
        <w:tc>
          <w:tcPr>
            <w:tcW w:w="2515" w:type="pct"/>
            <w:vAlign w:val="center"/>
          </w:tcPr>
          <w:p w14:paraId="798096C1">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财政审核代理机构信息，并可对代理机构进行挂起、冻结等操作。</w:t>
            </w:r>
          </w:p>
        </w:tc>
        <w:tc>
          <w:tcPr>
            <w:tcW w:w="668" w:type="pct"/>
            <w:vAlign w:val="center"/>
          </w:tcPr>
          <w:p w14:paraId="4A3EAC66">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08C5F67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3F8B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65BD950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81</w:t>
            </w:r>
          </w:p>
        </w:tc>
        <w:tc>
          <w:tcPr>
            <w:tcW w:w="1065" w:type="pct"/>
            <w:vAlign w:val="center"/>
          </w:tcPr>
          <w:p w14:paraId="51F57536">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供应商注册</w:t>
            </w:r>
          </w:p>
        </w:tc>
        <w:tc>
          <w:tcPr>
            <w:tcW w:w="2515" w:type="pct"/>
            <w:vAlign w:val="center"/>
          </w:tcPr>
          <w:p w14:paraId="54424316">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支持正式供应商、临时供应商录入基本信息、基本资质、特定资质、财务信息、平台审批信息后提交注册申请。</w:t>
            </w:r>
          </w:p>
        </w:tc>
        <w:tc>
          <w:tcPr>
            <w:tcW w:w="668" w:type="pct"/>
            <w:vAlign w:val="center"/>
          </w:tcPr>
          <w:p w14:paraId="3535A11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0255424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3643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4935BE3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82</w:t>
            </w:r>
          </w:p>
        </w:tc>
        <w:tc>
          <w:tcPr>
            <w:tcW w:w="1065" w:type="pct"/>
            <w:vAlign w:val="center"/>
          </w:tcPr>
          <w:p w14:paraId="369EDF7C">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供应商审核</w:t>
            </w:r>
          </w:p>
        </w:tc>
        <w:tc>
          <w:tcPr>
            <w:tcW w:w="2515" w:type="pct"/>
            <w:vAlign w:val="center"/>
          </w:tcPr>
          <w:p w14:paraId="789F3CB3">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审核供应商信息，审核人可对每个字段、材料提出修改意见，供应商修改后的字段自动加标识，方便审阅，审批流程包括初审、终审、公示、入库等，可按区划需求定制。</w:t>
            </w:r>
          </w:p>
        </w:tc>
        <w:tc>
          <w:tcPr>
            <w:tcW w:w="668" w:type="pct"/>
            <w:vAlign w:val="center"/>
          </w:tcPr>
          <w:p w14:paraId="46D1645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24C16EB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E93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264081E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83</w:t>
            </w:r>
          </w:p>
        </w:tc>
        <w:tc>
          <w:tcPr>
            <w:tcW w:w="1065" w:type="pct"/>
            <w:vAlign w:val="center"/>
          </w:tcPr>
          <w:p w14:paraId="25B4CDAA">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协议审批</w:t>
            </w:r>
          </w:p>
        </w:tc>
        <w:tc>
          <w:tcPr>
            <w:tcW w:w="2515" w:type="pct"/>
            <w:vAlign w:val="center"/>
          </w:tcPr>
          <w:p w14:paraId="2DFAF029">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审批供应商录入的协议商品品类、优惠率、供货量、协议有效期等。</w:t>
            </w:r>
          </w:p>
        </w:tc>
        <w:tc>
          <w:tcPr>
            <w:tcW w:w="668" w:type="pct"/>
            <w:vAlign w:val="center"/>
          </w:tcPr>
          <w:p w14:paraId="11CF8576">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6A7BD62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71C5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705A1BA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84</w:t>
            </w:r>
          </w:p>
        </w:tc>
        <w:tc>
          <w:tcPr>
            <w:tcW w:w="1065" w:type="pct"/>
            <w:vAlign w:val="center"/>
          </w:tcPr>
          <w:p w14:paraId="16A6E0E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协议列表</w:t>
            </w:r>
          </w:p>
        </w:tc>
        <w:tc>
          <w:tcPr>
            <w:tcW w:w="2515" w:type="pct"/>
            <w:vAlign w:val="center"/>
          </w:tcPr>
          <w:p w14:paraId="7357C0E6">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查询供应商在电子卖场的协议资格。协议失效后，可在此模块申请延期。</w:t>
            </w:r>
          </w:p>
        </w:tc>
        <w:tc>
          <w:tcPr>
            <w:tcW w:w="668" w:type="pct"/>
            <w:vAlign w:val="center"/>
          </w:tcPr>
          <w:p w14:paraId="2EAC40A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1B382AD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7B6B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7C392DD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85</w:t>
            </w:r>
          </w:p>
        </w:tc>
        <w:tc>
          <w:tcPr>
            <w:tcW w:w="1065" w:type="pct"/>
            <w:vAlign w:val="center"/>
          </w:tcPr>
          <w:p w14:paraId="7AD49C43">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协议变更记录</w:t>
            </w:r>
          </w:p>
        </w:tc>
        <w:tc>
          <w:tcPr>
            <w:tcW w:w="2515" w:type="pct"/>
            <w:vAlign w:val="center"/>
          </w:tcPr>
          <w:p w14:paraId="0EE6631B">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申请变更的协议列表，可查看协议详情和变更审批日志。</w:t>
            </w:r>
          </w:p>
        </w:tc>
        <w:tc>
          <w:tcPr>
            <w:tcW w:w="668" w:type="pct"/>
            <w:vAlign w:val="center"/>
          </w:tcPr>
          <w:p w14:paraId="54414AB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6F2DF37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3C0D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59077D6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86</w:t>
            </w:r>
          </w:p>
        </w:tc>
        <w:tc>
          <w:tcPr>
            <w:tcW w:w="1065" w:type="pct"/>
            <w:vAlign w:val="center"/>
          </w:tcPr>
          <w:p w14:paraId="47EE35F1">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供应商年检复审</w:t>
            </w:r>
          </w:p>
        </w:tc>
        <w:tc>
          <w:tcPr>
            <w:tcW w:w="2515" w:type="pct"/>
            <w:vAlign w:val="center"/>
          </w:tcPr>
          <w:p w14:paraId="15E30938">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对供应商信息进行年检或复审。</w:t>
            </w:r>
          </w:p>
        </w:tc>
        <w:tc>
          <w:tcPr>
            <w:tcW w:w="668" w:type="pct"/>
            <w:vAlign w:val="center"/>
          </w:tcPr>
          <w:p w14:paraId="4C44248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7A3C6E7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0B29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3D18C85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87</w:t>
            </w:r>
          </w:p>
        </w:tc>
        <w:tc>
          <w:tcPr>
            <w:tcW w:w="1065" w:type="pct"/>
            <w:vAlign w:val="center"/>
          </w:tcPr>
          <w:p w14:paraId="247258F5">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商品录入</w:t>
            </w:r>
          </w:p>
        </w:tc>
        <w:tc>
          <w:tcPr>
            <w:tcW w:w="2515" w:type="pct"/>
            <w:vAlign w:val="center"/>
          </w:tcPr>
          <w:p w14:paraId="05A463CE">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供应商录入商品信息、系统支持自动对比商品价格、类别是否符合协议要求。</w:t>
            </w:r>
          </w:p>
        </w:tc>
        <w:tc>
          <w:tcPr>
            <w:tcW w:w="668" w:type="pct"/>
            <w:vAlign w:val="center"/>
          </w:tcPr>
          <w:p w14:paraId="0DBA731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11AD676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3B0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051DCBB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88</w:t>
            </w:r>
          </w:p>
        </w:tc>
        <w:tc>
          <w:tcPr>
            <w:tcW w:w="1065" w:type="pct"/>
            <w:vAlign w:val="center"/>
          </w:tcPr>
          <w:p w14:paraId="7C6163A7">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商品管理</w:t>
            </w:r>
          </w:p>
        </w:tc>
        <w:tc>
          <w:tcPr>
            <w:tcW w:w="2515" w:type="pct"/>
            <w:vAlign w:val="center"/>
          </w:tcPr>
          <w:p w14:paraId="5E957061">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查询供应商协议商品列表和详情信息，并可对协议商品进行审核。</w:t>
            </w:r>
          </w:p>
        </w:tc>
        <w:tc>
          <w:tcPr>
            <w:tcW w:w="668" w:type="pct"/>
            <w:vAlign w:val="center"/>
          </w:tcPr>
          <w:p w14:paraId="2A59017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1BAEA61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32A7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769657C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89</w:t>
            </w:r>
          </w:p>
        </w:tc>
        <w:tc>
          <w:tcPr>
            <w:tcW w:w="1065" w:type="pct"/>
            <w:vAlign w:val="center"/>
          </w:tcPr>
          <w:p w14:paraId="029FFC0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SPU管理</w:t>
            </w:r>
          </w:p>
        </w:tc>
        <w:tc>
          <w:tcPr>
            <w:tcW w:w="2515" w:type="pct"/>
            <w:vAlign w:val="center"/>
          </w:tcPr>
          <w:p w14:paraId="205D7415">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标准商品模板管理。</w:t>
            </w:r>
          </w:p>
        </w:tc>
        <w:tc>
          <w:tcPr>
            <w:tcW w:w="668" w:type="pct"/>
            <w:vAlign w:val="center"/>
          </w:tcPr>
          <w:p w14:paraId="51A59A8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5414117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5965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27B3124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90</w:t>
            </w:r>
          </w:p>
        </w:tc>
        <w:tc>
          <w:tcPr>
            <w:tcW w:w="1065" w:type="pct"/>
            <w:vAlign w:val="center"/>
          </w:tcPr>
          <w:p w14:paraId="1E2FAAF9">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品牌管理</w:t>
            </w:r>
          </w:p>
        </w:tc>
        <w:tc>
          <w:tcPr>
            <w:tcW w:w="2515" w:type="pct"/>
            <w:vAlign w:val="center"/>
          </w:tcPr>
          <w:p w14:paraId="6FA68A76">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供应商品牌申请、审核管理。</w:t>
            </w:r>
          </w:p>
        </w:tc>
        <w:tc>
          <w:tcPr>
            <w:tcW w:w="668" w:type="pct"/>
            <w:vAlign w:val="center"/>
          </w:tcPr>
          <w:p w14:paraId="0075567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637E548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5421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1C0B231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91</w:t>
            </w:r>
          </w:p>
        </w:tc>
        <w:tc>
          <w:tcPr>
            <w:tcW w:w="1065" w:type="pct"/>
            <w:vAlign w:val="center"/>
          </w:tcPr>
          <w:p w14:paraId="2A462C87">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商品库</w:t>
            </w:r>
          </w:p>
        </w:tc>
        <w:tc>
          <w:tcPr>
            <w:tcW w:w="2515" w:type="pct"/>
            <w:vAlign w:val="center"/>
          </w:tcPr>
          <w:p w14:paraId="61E115A5">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针对标准商品，提供商品发布模板，总数不少于20万种商品模板。</w:t>
            </w:r>
          </w:p>
        </w:tc>
        <w:tc>
          <w:tcPr>
            <w:tcW w:w="668" w:type="pct"/>
            <w:vAlign w:val="center"/>
          </w:tcPr>
          <w:p w14:paraId="79FFCB7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0D0216F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26E7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3E00AFE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92</w:t>
            </w:r>
          </w:p>
        </w:tc>
        <w:tc>
          <w:tcPr>
            <w:tcW w:w="1065" w:type="pct"/>
            <w:vAlign w:val="center"/>
          </w:tcPr>
          <w:p w14:paraId="5EC3B86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品牌库</w:t>
            </w:r>
          </w:p>
        </w:tc>
        <w:tc>
          <w:tcPr>
            <w:tcW w:w="2515" w:type="pct"/>
            <w:vAlign w:val="center"/>
          </w:tcPr>
          <w:p w14:paraId="0D83B3AB">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提供商品品牌维护、管理功能，且数量不少于2万种。同时，根据国家市场监督管理总局商标局网站信息录入或者审核录入品牌信息，保证平台商品使用的商标信息真实、准确和规范。</w:t>
            </w:r>
          </w:p>
        </w:tc>
        <w:tc>
          <w:tcPr>
            <w:tcW w:w="668" w:type="pct"/>
            <w:vAlign w:val="center"/>
          </w:tcPr>
          <w:p w14:paraId="2379C0C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459EF85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0318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21D74AF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93</w:t>
            </w:r>
          </w:p>
        </w:tc>
        <w:tc>
          <w:tcPr>
            <w:tcW w:w="1065" w:type="pct"/>
            <w:vAlign w:val="center"/>
          </w:tcPr>
          <w:p w14:paraId="6C57EEA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属性库</w:t>
            </w:r>
          </w:p>
        </w:tc>
        <w:tc>
          <w:tcPr>
            <w:tcW w:w="2515" w:type="pct"/>
            <w:vAlign w:val="center"/>
          </w:tcPr>
          <w:p w14:paraId="210EA8EE">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提供商品的各类属性数据（以电脑为例，其属性包括CPU、显示屏、内存、显卡、硬盘等），要求提供不少于8000种商品类目。</w:t>
            </w:r>
          </w:p>
        </w:tc>
        <w:tc>
          <w:tcPr>
            <w:tcW w:w="668" w:type="pct"/>
            <w:vAlign w:val="center"/>
          </w:tcPr>
          <w:p w14:paraId="0CB4DFE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74D7329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4749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2EC7BD4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94</w:t>
            </w:r>
          </w:p>
        </w:tc>
        <w:tc>
          <w:tcPr>
            <w:tcW w:w="1065" w:type="pct"/>
            <w:vAlign w:val="center"/>
          </w:tcPr>
          <w:p w14:paraId="0EB5B0D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类目管理</w:t>
            </w:r>
          </w:p>
        </w:tc>
        <w:tc>
          <w:tcPr>
            <w:tcW w:w="2515" w:type="pct"/>
            <w:vAlign w:val="center"/>
          </w:tcPr>
          <w:p w14:paraId="256E1023">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支持标准商品类目体系，支持供应商基于标准类目发布商品，便于采购人快速筛选。</w:t>
            </w:r>
          </w:p>
        </w:tc>
        <w:tc>
          <w:tcPr>
            <w:tcW w:w="668" w:type="pct"/>
            <w:vAlign w:val="center"/>
          </w:tcPr>
          <w:p w14:paraId="05D110F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0B7C2EB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1D0F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507E863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95</w:t>
            </w:r>
          </w:p>
        </w:tc>
        <w:tc>
          <w:tcPr>
            <w:tcW w:w="1065" w:type="pct"/>
            <w:vAlign w:val="center"/>
          </w:tcPr>
          <w:p w14:paraId="79CDFC77">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禁限售管理</w:t>
            </w:r>
          </w:p>
        </w:tc>
        <w:tc>
          <w:tcPr>
            <w:tcW w:w="2515" w:type="pct"/>
            <w:vAlign w:val="center"/>
          </w:tcPr>
          <w:p w14:paraId="36FEC6A2">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对商品文本、图片的敏感词自动识别，包括但不限于涉黄赌毒、禁限售商品等。支持商品上架时系统对商品禁限售信息进行自动识别校验、自动处理，包括但不限于提醒、拦截，支持供应商对自动识别结果申诉。</w:t>
            </w:r>
          </w:p>
        </w:tc>
        <w:tc>
          <w:tcPr>
            <w:tcW w:w="668" w:type="pct"/>
            <w:vAlign w:val="center"/>
          </w:tcPr>
          <w:p w14:paraId="0B91F2A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1F440BF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324F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3471B6F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96</w:t>
            </w:r>
          </w:p>
        </w:tc>
        <w:tc>
          <w:tcPr>
            <w:tcW w:w="1065" w:type="pct"/>
            <w:vAlign w:val="center"/>
          </w:tcPr>
          <w:p w14:paraId="43D9257A">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节能环保商品</w:t>
            </w:r>
          </w:p>
          <w:p w14:paraId="5C9144B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标注</w:t>
            </w:r>
          </w:p>
        </w:tc>
        <w:tc>
          <w:tcPr>
            <w:tcW w:w="2515" w:type="pct"/>
            <w:vAlign w:val="center"/>
          </w:tcPr>
          <w:p w14:paraId="47028021">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根据节能环保证书内容，支持限制强采节能商品类目下非节能商品上架，预警节能环保优采类目下采购非节能环保的商品。</w:t>
            </w:r>
          </w:p>
        </w:tc>
        <w:tc>
          <w:tcPr>
            <w:tcW w:w="668" w:type="pct"/>
            <w:vAlign w:val="center"/>
          </w:tcPr>
          <w:p w14:paraId="2541D5E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6454744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2BEC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52A7E4A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97</w:t>
            </w:r>
          </w:p>
        </w:tc>
        <w:tc>
          <w:tcPr>
            <w:tcW w:w="1065" w:type="pct"/>
            <w:vAlign w:val="center"/>
          </w:tcPr>
          <w:p w14:paraId="1E17CAA2">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进口商品标注</w:t>
            </w:r>
          </w:p>
        </w:tc>
        <w:tc>
          <w:tcPr>
            <w:tcW w:w="2515" w:type="pct"/>
            <w:vAlign w:val="center"/>
          </w:tcPr>
          <w:p w14:paraId="2910A074">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支持按照产地打标商品是否为进口商品，在商品搜索结果页和商品详情页展示进口商品，给采购人明确提示。</w:t>
            </w:r>
          </w:p>
        </w:tc>
        <w:tc>
          <w:tcPr>
            <w:tcW w:w="668" w:type="pct"/>
            <w:vAlign w:val="center"/>
          </w:tcPr>
          <w:p w14:paraId="6F9B2F0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262BF42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3039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74302B1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98</w:t>
            </w:r>
          </w:p>
        </w:tc>
        <w:tc>
          <w:tcPr>
            <w:tcW w:w="1065" w:type="pct"/>
            <w:vAlign w:val="center"/>
          </w:tcPr>
          <w:p w14:paraId="5EF2BF0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中小微企业标注</w:t>
            </w:r>
          </w:p>
        </w:tc>
        <w:tc>
          <w:tcPr>
            <w:tcW w:w="2515" w:type="pct"/>
            <w:vAlign w:val="center"/>
          </w:tcPr>
          <w:p w14:paraId="70C5B8C5">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支持网超店铺打标企业性质，支持采购人在询价、竞价和项目采购中设置只允许中小微企业参与。</w:t>
            </w:r>
          </w:p>
        </w:tc>
        <w:tc>
          <w:tcPr>
            <w:tcW w:w="668" w:type="pct"/>
            <w:vAlign w:val="center"/>
          </w:tcPr>
          <w:p w14:paraId="3E51485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27BE740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419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4CA7AC2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99</w:t>
            </w:r>
          </w:p>
        </w:tc>
        <w:tc>
          <w:tcPr>
            <w:tcW w:w="1065" w:type="pct"/>
            <w:vAlign w:val="center"/>
          </w:tcPr>
          <w:p w14:paraId="20C1B4BC">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电子卖场管理</w:t>
            </w:r>
          </w:p>
        </w:tc>
        <w:tc>
          <w:tcPr>
            <w:tcW w:w="2515" w:type="pct"/>
            <w:vAlign w:val="center"/>
          </w:tcPr>
          <w:p w14:paraId="31D05F53">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对供应商违约行为提供符合集中采购机构要求的工作全流程操作功能，包括但不限于价格监测、预警、在线交流、处理等日常管理功能，并能在形成全链条工作流，方便操作。</w:t>
            </w:r>
          </w:p>
        </w:tc>
        <w:tc>
          <w:tcPr>
            <w:tcW w:w="668" w:type="pct"/>
            <w:vAlign w:val="center"/>
          </w:tcPr>
          <w:p w14:paraId="31C580F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5811CE8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2935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Align w:val="center"/>
          </w:tcPr>
          <w:p w14:paraId="6883565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100</w:t>
            </w:r>
          </w:p>
        </w:tc>
        <w:tc>
          <w:tcPr>
            <w:tcW w:w="1065" w:type="pct"/>
            <w:vAlign w:val="center"/>
          </w:tcPr>
          <w:p w14:paraId="694380C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项目管理</w:t>
            </w:r>
          </w:p>
        </w:tc>
        <w:tc>
          <w:tcPr>
            <w:tcW w:w="2515" w:type="pct"/>
            <w:vAlign w:val="center"/>
          </w:tcPr>
          <w:p w14:paraId="5EA72F9A">
            <w:pPr>
              <w:spacing w:line="0" w:lineRule="atLeast"/>
              <w:jc w:val="both"/>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提供完善的在线质疑、在线投诉功能</w:t>
            </w:r>
          </w:p>
        </w:tc>
        <w:tc>
          <w:tcPr>
            <w:tcW w:w="668" w:type="pct"/>
            <w:vAlign w:val="center"/>
          </w:tcPr>
          <w:p w14:paraId="61FB3B1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413" w:type="pct"/>
            <w:vAlign w:val="center"/>
          </w:tcPr>
          <w:p w14:paraId="2C5D081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bl>
    <w:p w14:paraId="0E6A83A7">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*1功能是否可用，强依赖于与河北省预算一体化系统的对接开展情况，需</w:t>
      </w:r>
      <w:r>
        <w:rPr>
          <w:rFonts w:hint="eastAsia" w:ascii="Times New Roman" w:hAnsi="Times New Roman" w:eastAsia="宋体" w:cs="Times New Roman"/>
          <w:sz w:val="24"/>
          <w:highlight w:val="none"/>
          <w:lang w:eastAsia="zh-CN"/>
        </w:rPr>
        <w:t>采购人</w:t>
      </w:r>
      <w:r>
        <w:rPr>
          <w:rFonts w:ascii="Times New Roman" w:hAnsi="Times New Roman" w:eastAsia="宋体" w:cs="Times New Roman"/>
          <w:sz w:val="24"/>
          <w:highlight w:val="none"/>
        </w:rPr>
        <w:t>帮助协调外部机构配合对接工作</w:t>
      </w:r>
      <w:r>
        <w:rPr>
          <w:rFonts w:hint="eastAsia" w:ascii="Times New Roman" w:hAnsi="Times New Roman" w:eastAsia="宋体" w:cs="Times New Roman"/>
          <w:sz w:val="24"/>
          <w:highlight w:val="none"/>
          <w:lang w:eastAsia="zh-CN"/>
        </w:rPr>
        <w:t>后</w:t>
      </w:r>
      <w:r>
        <w:rPr>
          <w:rFonts w:ascii="Times New Roman" w:hAnsi="Times New Roman" w:eastAsia="宋体" w:cs="Times New Roman"/>
          <w:sz w:val="24"/>
          <w:highlight w:val="none"/>
        </w:rPr>
        <w:t>，</w:t>
      </w:r>
      <w:r>
        <w:rPr>
          <w:rFonts w:hint="eastAsia" w:ascii="Times New Roman" w:hAnsi="Times New Roman" w:eastAsia="宋体" w:cs="Times New Roman"/>
          <w:sz w:val="24"/>
          <w:highlight w:val="none"/>
          <w:lang w:eastAsia="zh-CN"/>
        </w:rPr>
        <w:t>供应商</w:t>
      </w:r>
      <w:r>
        <w:rPr>
          <w:rFonts w:ascii="Times New Roman" w:hAnsi="Times New Roman" w:eastAsia="宋体" w:cs="Times New Roman"/>
          <w:sz w:val="24"/>
          <w:highlight w:val="none"/>
        </w:rPr>
        <w:t>负责在具备技术对接条件后开展对接及上线工作。</w:t>
      </w:r>
    </w:p>
    <w:p w14:paraId="786D8466">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*2功能是否可用，强依赖于与河北省政府采购网的对接开展情况，需</w:t>
      </w:r>
      <w:r>
        <w:rPr>
          <w:rFonts w:hint="eastAsia" w:ascii="Times New Roman" w:hAnsi="Times New Roman" w:eastAsia="宋体" w:cs="Times New Roman"/>
          <w:sz w:val="24"/>
          <w:highlight w:val="none"/>
          <w:lang w:eastAsia="zh-CN"/>
        </w:rPr>
        <w:t>采购人</w:t>
      </w:r>
      <w:r>
        <w:rPr>
          <w:rFonts w:ascii="Times New Roman" w:hAnsi="Times New Roman" w:eastAsia="宋体" w:cs="Times New Roman"/>
          <w:sz w:val="24"/>
          <w:highlight w:val="none"/>
        </w:rPr>
        <w:t>帮助协调外部机构配合对接工作后，</w:t>
      </w:r>
      <w:r>
        <w:rPr>
          <w:rFonts w:hint="eastAsia" w:ascii="Times New Roman" w:hAnsi="Times New Roman" w:eastAsia="宋体" w:cs="Times New Roman"/>
          <w:sz w:val="24"/>
          <w:highlight w:val="none"/>
          <w:lang w:eastAsia="zh-CN"/>
        </w:rPr>
        <w:t>供应商</w:t>
      </w:r>
      <w:r>
        <w:rPr>
          <w:rFonts w:ascii="Times New Roman" w:hAnsi="Times New Roman" w:eastAsia="宋体" w:cs="Times New Roman"/>
          <w:sz w:val="24"/>
          <w:highlight w:val="none"/>
        </w:rPr>
        <w:t>负责在具备技术对接条件后开展对接及上线工作。</w:t>
      </w:r>
    </w:p>
    <w:p w14:paraId="6D571495">
      <w:pPr>
        <w:snapToGrid w:val="0"/>
        <w:spacing w:line="54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*3功能是否可用，强依赖于与河北CA的对接开展情况，需</w:t>
      </w:r>
      <w:r>
        <w:rPr>
          <w:rFonts w:hint="eastAsia" w:ascii="Times New Roman" w:hAnsi="Times New Roman" w:eastAsia="宋体" w:cs="Times New Roman"/>
          <w:sz w:val="24"/>
          <w:highlight w:val="none"/>
          <w:lang w:eastAsia="zh-CN"/>
        </w:rPr>
        <w:t>采购人</w:t>
      </w:r>
      <w:r>
        <w:rPr>
          <w:rFonts w:ascii="Times New Roman" w:hAnsi="Times New Roman" w:eastAsia="宋体" w:cs="Times New Roman"/>
          <w:sz w:val="24"/>
          <w:highlight w:val="none"/>
        </w:rPr>
        <w:t>帮助协调外部机构配合对接工作后，</w:t>
      </w:r>
      <w:r>
        <w:rPr>
          <w:rFonts w:hint="eastAsia" w:ascii="Times New Roman" w:hAnsi="Times New Roman" w:eastAsia="宋体" w:cs="Times New Roman"/>
          <w:sz w:val="24"/>
          <w:highlight w:val="none"/>
          <w:lang w:eastAsia="zh-CN"/>
        </w:rPr>
        <w:t>供应商</w:t>
      </w:r>
      <w:r>
        <w:rPr>
          <w:rFonts w:ascii="Times New Roman" w:hAnsi="Times New Roman" w:eastAsia="宋体" w:cs="Times New Roman"/>
          <w:sz w:val="24"/>
          <w:highlight w:val="none"/>
        </w:rPr>
        <w:t>负责在具备技术对接条件后开展对接及上线工作；或财政可选择直接使用政采云已对接支持的CA厂商开展业务。</w:t>
      </w:r>
    </w:p>
    <w:p w14:paraId="4D85482F">
      <w:pPr>
        <w:snapToGrid w:val="0"/>
        <w:spacing w:line="540" w:lineRule="exact"/>
        <w:ind w:firstLine="480" w:firstLineChars="200"/>
        <w:rPr>
          <w:rFonts w:ascii="Times New Roman" w:hAnsi="Times New Roman" w:cs="Times New Roman"/>
          <w:highlight w:val="none"/>
        </w:rPr>
      </w:pPr>
      <w:r>
        <w:rPr>
          <w:rFonts w:ascii="Times New Roman" w:hAnsi="Times New Roman" w:eastAsia="宋体" w:cs="Times New Roman"/>
          <w:sz w:val="24"/>
          <w:highlight w:val="none"/>
        </w:rPr>
        <w:t>*4功能是否可用，强依赖于与河北省专家抽取系统的对接开展情况，需</w:t>
      </w:r>
      <w:r>
        <w:rPr>
          <w:rFonts w:hint="eastAsia" w:ascii="Times New Roman" w:hAnsi="Times New Roman" w:eastAsia="宋体" w:cs="Times New Roman"/>
          <w:sz w:val="24"/>
          <w:highlight w:val="none"/>
          <w:lang w:eastAsia="zh-CN"/>
        </w:rPr>
        <w:t>采购人</w:t>
      </w:r>
      <w:r>
        <w:rPr>
          <w:rFonts w:ascii="Times New Roman" w:hAnsi="Times New Roman" w:eastAsia="宋体" w:cs="Times New Roman"/>
          <w:sz w:val="24"/>
          <w:highlight w:val="none"/>
        </w:rPr>
        <w:t>帮助协调外部机构配合对接工作后，</w:t>
      </w:r>
      <w:r>
        <w:rPr>
          <w:rFonts w:hint="eastAsia" w:ascii="Times New Roman" w:hAnsi="Times New Roman" w:eastAsia="宋体" w:cs="Times New Roman"/>
          <w:sz w:val="24"/>
          <w:highlight w:val="none"/>
          <w:lang w:eastAsia="zh-CN"/>
        </w:rPr>
        <w:t>供应商</w:t>
      </w:r>
      <w:r>
        <w:rPr>
          <w:rFonts w:ascii="Times New Roman" w:hAnsi="Times New Roman" w:eastAsia="宋体" w:cs="Times New Roman"/>
          <w:sz w:val="24"/>
          <w:highlight w:val="none"/>
        </w:rPr>
        <w:t>负责在具备技术对接条件后开展对接及上线工作；或财政可选择直接使用政采云平台自有专家库开展雄安新区专家注册登记及抽取管理等工作。</w:t>
      </w:r>
    </w:p>
    <w:p w14:paraId="3BCEF4A5">
      <w:pPr>
        <w:snapToGrid w:val="0"/>
        <w:spacing w:line="54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（二）采购执行</w:t>
      </w: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774"/>
        <w:gridCol w:w="1652"/>
        <w:gridCol w:w="3601"/>
        <w:gridCol w:w="1062"/>
        <w:gridCol w:w="929"/>
      </w:tblGrid>
      <w:tr w14:paraId="343C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shd w:val="clear" w:color="000000" w:fill="D9D9D9"/>
            <w:vAlign w:val="center"/>
          </w:tcPr>
          <w:p w14:paraId="541139EA">
            <w:pPr>
              <w:spacing w:line="0" w:lineRule="atLeast"/>
              <w:jc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szCs w:val="21"/>
                <w:highlight w:val="none"/>
              </w:rPr>
              <w:t>序</w:t>
            </w:r>
          </w:p>
        </w:tc>
        <w:tc>
          <w:tcPr>
            <w:tcW w:w="774" w:type="dxa"/>
            <w:shd w:val="clear" w:color="000000" w:fill="D9D9D9"/>
            <w:vAlign w:val="center"/>
          </w:tcPr>
          <w:p w14:paraId="00F6E03E">
            <w:pPr>
              <w:spacing w:line="0" w:lineRule="atLeast"/>
              <w:jc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szCs w:val="21"/>
                <w:highlight w:val="none"/>
              </w:rPr>
              <w:t>模块</w:t>
            </w:r>
          </w:p>
        </w:tc>
        <w:tc>
          <w:tcPr>
            <w:tcW w:w="1652" w:type="dxa"/>
            <w:shd w:val="clear" w:color="000000" w:fill="D9D9D9"/>
            <w:vAlign w:val="center"/>
          </w:tcPr>
          <w:p w14:paraId="7C769DA9">
            <w:pPr>
              <w:spacing w:line="0" w:lineRule="atLeast"/>
              <w:jc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szCs w:val="21"/>
                <w:highlight w:val="none"/>
              </w:rPr>
              <w:t>功能点</w:t>
            </w:r>
          </w:p>
        </w:tc>
        <w:tc>
          <w:tcPr>
            <w:tcW w:w="3601" w:type="dxa"/>
            <w:shd w:val="clear" w:color="000000" w:fill="D9D9D9"/>
            <w:vAlign w:val="center"/>
          </w:tcPr>
          <w:p w14:paraId="61B6AC29">
            <w:pPr>
              <w:spacing w:line="0" w:lineRule="atLeast"/>
              <w:jc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szCs w:val="21"/>
                <w:highlight w:val="none"/>
              </w:rPr>
              <w:t>功能描述</w:t>
            </w:r>
          </w:p>
        </w:tc>
        <w:tc>
          <w:tcPr>
            <w:tcW w:w="1062" w:type="dxa"/>
            <w:shd w:val="clear" w:color="000000" w:fill="D9D9D9"/>
            <w:vAlign w:val="center"/>
          </w:tcPr>
          <w:p w14:paraId="4CF67111">
            <w:pPr>
              <w:spacing w:line="0" w:lineRule="atLeast"/>
              <w:jc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szCs w:val="21"/>
                <w:highlight w:val="none"/>
              </w:rPr>
              <w:t>省本级</w:t>
            </w:r>
          </w:p>
        </w:tc>
        <w:tc>
          <w:tcPr>
            <w:tcW w:w="929" w:type="dxa"/>
            <w:shd w:val="clear" w:color="000000" w:fill="D9D9D9"/>
            <w:vAlign w:val="center"/>
          </w:tcPr>
          <w:p w14:paraId="5BAA0760">
            <w:pPr>
              <w:spacing w:line="0" w:lineRule="atLeast"/>
              <w:jc w:val="center"/>
              <w:rPr>
                <w:rFonts w:ascii="Times New Roman" w:hAnsi="Times New Roman" w:eastAsia="宋体" w:cs="Times New Roman"/>
                <w:b/>
                <w:bCs/>
                <w:color w:val="000000"/>
                <w:szCs w:val="21"/>
                <w:highlight w:val="none"/>
              </w:rPr>
            </w:pPr>
            <w:r>
              <w:rPr>
                <w:rFonts w:ascii="Times New Roman" w:hAnsi="Times New Roman" w:eastAsia="宋体" w:cs="Times New Roman"/>
                <w:b/>
                <w:color w:val="000000"/>
                <w:szCs w:val="21"/>
                <w:highlight w:val="none"/>
              </w:rPr>
              <w:t>市、</w:t>
            </w:r>
            <w:r>
              <w:rPr>
                <w:rFonts w:ascii="Times New Roman" w:hAnsi="Times New Roman" w:eastAsia="宋体" w:cs="Times New Roman"/>
                <w:b/>
                <w:bCs/>
                <w:color w:val="000000"/>
                <w:szCs w:val="21"/>
                <w:highlight w:val="none"/>
              </w:rPr>
              <w:t>区</w:t>
            </w:r>
          </w:p>
        </w:tc>
      </w:tr>
      <w:tr w14:paraId="4BC6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768E29C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w:t>
            </w:r>
          </w:p>
        </w:tc>
        <w:tc>
          <w:tcPr>
            <w:tcW w:w="774" w:type="dxa"/>
            <w:vMerge w:val="restart"/>
            <w:vAlign w:val="center"/>
          </w:tcPr>
          <w:p w14:paraId="7087F4E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网上超市</w:t>
            </w:r>
          </w:p>
        </w:tc>
        <w:tc>
          <w:tcPr>
            <w:tcW w:w="1652" w:type="dxa"/>
            <w:vAlign w:val="center"/>
          </w:tcPr>
          <w:p w14:paraId="58F6AE3F">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网超展示页</w:t>
            </w:r>
          </w:p>
        </w:tc>
        <w:tc>
          <w:tcPr>
            <w:tcW w:w="3601" w:type="dxa"/>
            <w:vAlign w:val="center"/>
          </w:tcPr>
          <w:p w14:paraId="3796B305">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首页按商品分类、品牌对商品列表进行展示。</w:t>
            </w:r>
          </w:p>
        </w:tc>
        <w:tc>
          <w:tcPr>
            <w:tcW w:w="1062" w:type="dxa"/>
            <w:vAlign w:val="center"/>
          </w:tcPr>
          <w:p w14:paraId="5F6A3EF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32E23B7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4DC5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7363FE3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w:t>
            </w:r>
          </w:p>
        </w:tc>
        <w:tc>
          <w:tcPr>
            <w:tcW w:w="774" w:type="dxa"/>
            <w:vMerge w:val="continue"/>
            <w:vAlign w:val="center"/>
          </w:tcPr>
          <w:p w14:paraId="4ACE48D1">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1F41AFDA">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搜索引擎</w:t>
            </w:r>
          </w:p>
        </w:tc>
        <w:tc>
          <w:tcPr>
            <w:tcW w:w="3601" w:type="dxa"/>
            <w:vAlign w:val="center"/>
          </w:tcPr>
          <w:p w14:paraId="7975038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按照商品名称、供应商名称等关键词进行精确搜索、模糊搜索等。</w:t>
            </w:r>
          </w:p>
        </w:tc>
        <w:tc>
          <w:tcPr>
            <w:tcW w:w="1062" w:type="dxa"/>
            <w:vAlign w:val="center"/>
          </w:tcPr>
          <w:p w14:paraId="4AD2CE1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59C9000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21FA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7CE6CFB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w:t>
            </w:r>
          </w:p>
        </w:tc>
        <w:tc>
          <w:tcPr>
            <w:tcW w:w="774" w:type="dxa"/>
            <w:vMerge w:val="continue"/>
            <w:vAlign w:val="center"/>
          </w:tcPr>
          <w:p w14:paraId="5DD18774">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1533D647">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热销商品</w:t>
            </w:r>
          </w:p>
        </w:tc>
        <w:tc>
          <w:tcPr>
            <w:tcW w:w="3601" w:type="dxa"/>
            <w:vAlign w:val="center"/>
          </w:tcPr>
          <w:p w14:paraId="5DA2AA5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根据搜索引擎规则参考近期销量、商品服务质量等因素进行排序。</w:t>
            </w:r>
          </w:p>
        </w:tc>
        <w:tc>
          <w:tcPr>
            <w:tcW w:w="1062" w:type="dxa"/>
            <w:vAlign w:val="center"/>
          </w:tcPr>
          <w:p w14:paraId="33B0BEE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4FF874A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E2D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2703B4D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w:t>
            </w:r>
          </w:p>
        </w:tc>
        <w:tc>
          <w:tcPr>
            <w:tcW w:w="774" w:type="dxa"/>
            <w:vMerge w:val="continue"/>
            <w:vAlign w:val="center"/>
          </w:tcPr>
          <w:p w14:paraId="4892EB1C">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4F45AC41">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精选品牌</w:t>
            </w:r>
          </w:p>
        </w:tc>
        <w:tc>
          <w:tcPr>
            <w:tcW w:w="3601" w:type="dxa"/>
            <w:vAlign w:val="center"/>
          </w:tcPr>
          <w:p w14:paraId="01FAE7BE">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根据新区财政同意的搜索引擎规则，参考销量等因素进行排序。</w:t>
            </w:r>
          </w:p>
        </w:tc>
        <w:tc>
          <w:tcPr>
            <w:tcW w:w="1062" w:type="dxa"/>
            <w:vAlign w:val="center"/>
          </w:tcPr>
          <w:p w14:paraId="0416149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133215E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F52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09719B8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w:t>
            </w:r>
          </w:p>
        </w:tc>
        <w:tc>
          <w:tcPr>
            <w:tcW w:w="774" w:type="dxa"/>
            <w:vMerge w:val="continue"/>
            <w:vAlign w:val="center"/>
          </w:tcPr>
          <w:p w14:paraId="448CB027">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16A2D117">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最近成交供应商</w:t>
            </w:r>
          </w:p>
        </w:tc>
        <w:tc>
          <w:tcPr>
            <w:tcW w:w="3601" w:type="dxa"/>
            <w:vAlign w:val="center"/>
          </w:tcPr>
          <w:p w14:paraId="353254BC">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根据新区财政同意的搜索引擎规则参考近期销量、近期成交笔数等因素进行排序。</w:t>
            </w:r>
          </w:p>
        </w:tc>
        <w:tc>
          <w:tcPr>
            <w:tcW w:w="1062" w:type="dxa"/>
            <w:vAlign w:val="center"/>
          </w:tcPr>
          <w:p w14:paraId="71BA83F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1B9979F6">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7159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7C47C8E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w:t>
            </w:r>
          </w:p>
        </w:tc>
        <w:tc>
          <w:tcPr>
            <w:tcW w:w="774" w:type="dxa"/>
            <w:vMerge w:val="continue"/>
            <w:vAlign w:val="center"/>
          </w:tcPr>
          <w:p w14:paraId="27C815F8">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4FF708E7">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网超需求单</w:t>
            </w:r>
          </w:p>
        </w:tc>
        <w:tc>
          <w:tcPr>
            <w:tcW w:w="3601" w:type="dxa"/>
            <w:vAlign w:val="center"/>
          </w:tcPr>
          <w:p w14:paraId="4AC7F301">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采购单位经办人可选择要采购的商品，生成采购意向单，经本单位审批岗审核后，汇总采购。</w:t>
            </w:r>
          </w:p>
        </w:tc>
        <w:tc>
          <w:tcPr>
            <w:tcW w:w="1062" w:type="dxa"/>
            <w:vAlign w:val="center"/>
          </w:tcPr>
          <w:p w14:paraId="5549EBF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5558DE4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19B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4FC170C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w:t>
            </w:r>
          </w:p>
        </w:tc>
        <w:tc>
          <w:tcPr>
            <w:tcW w:w="774" w:type="dxa"/>
            <w:vMerge w:val="continue"/>
            <w:vAlign w:val="center"/>
          </w:tcPr>
          <w:p w14:paraId="56890D63">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586BA8A9">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网超订单</w:t>
            </w:r>
          </w:p>
        </w:tc>
        <w:tc>
          <w:tcPr>
            <w:tcW w:w="3601" w:type="dxa"/>
            <w:vAlign w:val="center"/>
          </w:tcPr>
          <w:p w14:paraId="0C18972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采购单位选择网超商品，加入购物车后下单。订单可关联采购计划、可要求开具发票。</w:t>
            </w:r>
          </w:p>
        </w:tc>
        <w:tc>
          <w:tcPr>
            <w:tcW w:w="1062" w:type="dxa"/>
            <w:vAlign w:val="center"/>
          </w:tcPr>
          <w:p w14:paraId="0A658EF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474E58E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7537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6B7A5BB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8</w:t>
            </w:r>
          </w:p>
        </w:tc>
        <w:tc>
          <w:tcPr>
            <w:tcW w:w="774" w:type="dxa"/>
            <w:vMerge w:val="continue"/>
            <w:vAlign w:val="center"/>
          </w:tcPr>
          <w:p w14:paraId="71FED63E">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14687C73">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订单议价</w:t>
            </w:r>
          </w:p>
        </w:tc>
        <w:tc>
          <w:tcPr>
            <w:tcW w:w="3601" w:type="dxa"/>
            <w:vAlign w:val="center"/>
          </w:tcPr>
          <w:p w14:paraId="46DAD38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供应商和采购人线下议价，供应商接单时可直接改低成交价。</w:t>
            </w:r>
          </w:p>
        </w:tc>
        <w:tc>
          <w:tcPr>
            <w:tcW w:w="1062" w:type="dxa"/>
            <w:vAlign w:val="center"/>
          </w:tcPr>
          <w:p w14:paraId="6D21BA9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73AF416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73A3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7F06D59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9</w:t>
            </w:r>
          </w:p>
        </w:tc>
        <w:tc>
          <w:tcPr>
            <w:tcW w:w="774" w:type="dxa"/>
            <w:vMerge w:val="continue"/>
            <w:vAlign w:val="center"/>
          </w:tcPr>
          <w:p w14:paraId="56EAAC23">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26D2504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竞价</w:t>
            </w:r>
          </w:p>
        </w:tc>
        <w:tc>
          <w:tcPr>
            <w:tcW w:w="3601" w:type="dxa"/>
            <w:vAlign w:val="center"/>
          </w:tcPr>
          <w:p w14:paraId="5FF5BAF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支持网超单商品（品牌）、多商品（品牌）竞价。</w:t>
            </w:r>
          </w:p>
        </w:tc>
        <w:tc>
          <w:tcPr>
            <w:tcW w:w="1062" w:type="dxa"/>
            <w:vAlign w:val="center"/>
          </w:tcPr>
          <w:p w14:paraId="39D91989">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46583816">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1DC0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7CD988E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10</w:t>
            </w:r>
          </w:p>
        </w:tc>
        <w:tc>
          <w:tcPr>
            <w:tcW w:w="774" w:type="dxa"/>
            <w:vMerge w:val="continue"/>
            <w:vAlign w:val="center"/>
          </w:tcPr>
          <w:p w14:paraId="4D75BE6B">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3E89F28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计划关联</w:t>
            </w:r>
          </w:p>
        </w:tc>
        <w:tc>
          <w:tcPr>
            <w:tcW w:w="3601" w:type="dxa"/>
            <w:vAlign w:val="center"/>
          </w:tcPr>
          <w:p w14:paraId="5E3C0F3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电子商城交易关联采购计划，并做校验。</w:t>
            </w:r>
          </w:p>
        </w:tc>
        <w:tc>
          <w:tcPr>
            <w:tcW w:w="1062" w:type="dxa"/>
            <w:vAlign w:val="center"/>
          </w:tcPr>
          <w:p w14:paraId="4956E37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3F8F9AD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5E58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103638A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11</w:t>
            </w:r>
          </w:p>
        </w:tc>
        <w:tc>
          <w:tcPr>
            <w:tcW w:w="774" w:type="dxa"/>
            <w:vMerge w:val="continue"/>
            <w:vAlign w:val="center"/>
          </w:tcPr>
          <w:p w14:paraId="4C50992A">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0904A8A3">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订单查询</w:t>
            </w:r>
          </w:p>
        </w:tc>
        <w:tc>
          <w:tcPr>
            <w:tcW w:w="3601" w:type="dxa"/>
            <w:vAlign w:val="center"/>
          </w:tcPr>
          <w:p w14:paraId="3E38AB1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支持采购人或供应商对已生成的直购、竞价订单进行查询。支持按照待接单、待合同签订、待发货、取消中分类查看。</w:t>
            </w:r>
          </w:p>
        </w:tc>
        <w:tc>
          <w:tcPr>
            <w:tcW w:w="1062" w:type="dxa"/>
            <w:vAlign w:val="center"/>
          </w:tcPr>
          <w:p w14:paraId="387CE94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7A403B8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7DF5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2346B80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12</w:t>
            </w:r>
          </w:p>
        </w:tc>
        <w:tc>
          <w:tcPr>
            <w:tcW w:w="774" w:type="dxa"/>
            <w:vMerge w:val="continue"/>
            <w:vAlign w:val="center"/>
          </w:tcPr>
          <w:p w14:paraId="0B5017C0">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0C3A9033">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订单沟通</w:t>
            </w:r>
          </w:p>
        </w:tc>
        <w:tc>
          <w:tcPr>
            <w:tcW w:w="3601" w:type="dxa"/>
            <w:vAlign w:val="center"/>
          </w:tcPr>
          <w:p w14:paraId="203FD9AD">
            <w:pPr>
              <w:spacing w:line="0" w:lineRule="atLeast"/>
              <w:rPr>
                <w:rFonts w:ascii="Times New Roman" w:hAnsi="Times New Roman" w:eastAsia="宋体" w:cs="Times New Roman"/>
                <w:szCs w:val="21"/>
                <w:highlight w:val="none"/>
              </w:rPr>
            </w:pPr>
            <w:r>
              <w:rPr>
                <w:rFonts w:ascii="Times New Roman" w:hAnsi="Times New Roman" w:eastAsia="宋体" w:cs="Times New Roman"/>
                <w:color w:val="000000"/>
                <w:szCs w:val="21"/>
                <w:highlight w:val="none"/>
              </w:rPr>
              <w:t>支持采购人与供应商基于订单在线进行沟通，包括但不限于文字、图片等。</w:t>
            </w:r>
          </w:p>
        </w:tc>
        <w:tc>
          <w:tcPr>
            <w:tcW w:w="1062" w:type="dxa"/>
            <w:vAlign w:val="center"/>
          </w:tcPr>
          <w:p w14:paraId="6205D29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4A15B07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02C6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035198C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13</w:t>
            </w:r>
          </w:p>
        </w:tc>
        <w:tc>
          <w:tcPr>
            <w:tcW w:w="774" w:type="dxa"/>
            <w:vMerge w:val="continue"/>
            <w:vAlign w:val="center"/>
          </w:tcPr>
          <w:p w14:paraId="5A84B9F9">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33831F8E">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批次发货</w:t>
            </w:r>
          </w:p>
        </w:tc>
        <w:tc>
          <w:tcPr>
            <w:tcW w:w="3601" w:type="dxa"/>
            <w:vAlign w:val="center"/>
          </w:tcPr>
          <w:p w14:paraId="257BE70C">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供应商批次发货，供应商可选择发货仓库、发货数量、发货方式、查看采购人发票需求。</w:t>
            </w:r>
          </w:p>
        </w:tc>
        <w:tc>
          <w:tcPr>
            <w:tcW w:w="1062" w:type="dxa"/>
            <w:vAlign w:val="center"/>
          </w:tcPr>
          <w:p w14:paraId="59E5D31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01BC90D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518E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56282B2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14</w:t>
            </w:r>
          </w:p>
        </w:tc>
        <w:tc>
          <w:tcPr>
            <w:tcW w:w="774" w:type="dxa"/>
            <w:vMerge w:val="continue"/>
            <w:vAlign w:val="center"/>
          </w:tcPr>
          <w:p w14:paraId="1E018919">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6631B341">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订单收货</w:t>
            </w:r>
          </w:p>
        </w:tc>
        <w:tc>
          <w:tcPr>
            <w:tcW w:w="3601" w:type="dxa"/>
            <w:vAlign w:val="center"/>
          </w:tcPr>
          <w:p w14:paraId="25CBCBE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采购人按照发货单进行收货，也可部分收货。</w:t>
            </w:r>
          </w:p>
        </w:tc>
        <w:tc>
          <w:tcPr>
            <w:tcW w:w="1062" w:type="dxa"/>
            <w:vAlign w:val="center"/>
          </w:tcPr>
          <w:p w14:paraId="13D1B1C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7B856F6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2C4E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10E4920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15</w:t>
            </w:r>
          </w:p>
        </w:tc>
        <w:tc>
          <w:tcPr>
            <w:tcW w:w="774" w:type="dxa"/>
            <w:vMerge w:val="continue"/>
            <w:vAlign w:val="center"/>
          </w:tcPr>
          <w:p w14:paraId="65681FFE">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4291716F">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退换货管理</w:t>
            </w:r>
          </w:p>
        </w:tc>
        <w:tc>
          <w:tcPr>
            <w:tcW w:w="3601" w:type="dxa"/>
            <w:vAlign w:val="center"/>
          </w:tcPr>
          <w:p w14:paraId="1A4D610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采购人对已生成的订单发起退换货，选择退货方式和退货原因，供应商可同意或拒绝。</w:t>
            </w:r>
          </w:p>
        </w:tc>
        <w:tc>
          <w:tcPr>
            <w:tcW w:w="1062" w:type="dxa"/>
            <w:vAlign w:val="center"/>
          </w:tcPr>
          <w:p w14:paraId="22DE2CC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1DD81756">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5A94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1F66E02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16</w:t>
            </w:r>
          </w:p>
        </w:tc>
        <w:tc>
          <w:tcPr>
            <w:tcW w:w="774" w:type="dxa"/>
            <w:vMerge w:val="continue"/>
            <w:vAlign w:val="center"/>
          </w:tcPr>
          <w:p w14:paraId="532D0C2F">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001E9D09">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验收单打印</w:t>
            </w:r>
          </w:p>
        </w:tc>
        <w:tc>
          <w:tcPr>
            <w:tcW w:w="3601" w:type="dxa"/>
            <w:vAlign w:val="center"/>
          </w:tcPr>
          <w:p w14:paraId="5B11FDBC">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验收单的打印、上传。</w:t>
            </w:r>
          </w:p>
        </w:tc>
        <w:tc>
          <w:tcPr>
            <w:tcW w:w="1062" w:type="dxa"/>
            <w:vAlign w:val="center"/>
          </w:tcPr>
          <w:p w14:paraId="5605AD6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0E0155D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53F7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09525F0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17</w:t>
            </w:r>
          </w:p>
        </w:tc>
        <w:tc>
          <w:tcPr>
            <w:tcW w:w="774" w:type="dxa"/>
            <w:vMerge w:val="continue"/>
            <w:vAlign w:val="center"/>
          </w:tcPr>
          <w:p w14:paraId="00F8557F">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1A3F819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生成合同</w:t>
            </w:r>
          </w:p>
        </w:tc>
        <w:tc>
          <w:tcPr>
            <w:tcW w:w="3601" w:type="dxa"/>
            <w:vAlign w:val="center"/>
          </w:tcPr>
          <w:p w14:paraId="4DFFC18F">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根据订单需求，在线生成合同并经供应商、采购人双方确认后生效。</w:t>
            </w:r>
          </w:p>
        </w:tc>
        <w:tc>
          <w:tcPr>
            <w:tcW w:w="1062" w:type="dxa"/>
            <w:vAlign w:val="center"/>
          </w:tcPr>
          <w:p w14:paraId="7C5AC19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69E4174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33F0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153937C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18</w:t>
            </w:r>
          </w:p>
        </w:tc>
        <w:tc>
          <w:tcPr>
            <w:tcW w:w="774" w:type="dxa"/>
            <w:vMerge w:val="continue"/>
            <w:vAlign w:val="center"/>
          </w:tcPr>
          <w:p w14:paraId="2E17476D">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203869B9">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订单结算</w:t>
            </w:r>
          </w:p>
        </w:tc>
        <w:tc>
          <w:tcPr>
            <w:tcW w:w="3601" w:type="dxa"/>
            <w:vAlign w:val="center"/>
          </w:tcPr>
          <w:p w14:paraId="5A36BEED">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采购人收货后，可对单个或多个订单发起结算。</w:t>
            </w:r>
          </w:p>
        </w:tc>
        <w:tc>
          <w:tcPr>
            <w:tcW w:w="1062" w:type="dxa"/>
            <w:vAlign w:val="center"/>
          </w:tcPr>
          <w:p w14:paraId="01927F4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0C9E67E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53AB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6366DEA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19</w:t>
            </w:r>
          </w:p>
        </w:tc>
        <w:tc>
          <w:tcPr>
            <w:tcW w:w="774" w:type="dxa"/>
            <w:vMerge w:val="continue"/>
            <w:vAlign w:val="center"/>
          </w:tcPr>
          <w:p w14:paraId="2972C28A">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1B7D638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用户评价</w:t>
            </w:r>
          </w:p>
        </w:tc>
        <w:tc>
          <w:tcPr>
            <w:tcW w:w="3601" w:type="dxa"/>
            <w:vAlign w:val="center"/>
          </w:tcPr>
          <w:p w14:paraId="5109E855">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采购人对供货商和商品分别评价。支持采购人对供货商的供货、服务、质量、价格评分和文字评价；支持采购人对所购商品的质量、服务、供货、价格评分、文字评论；支持追加评论。</w:t>
            </w:r>
          </w:p>
        </w:tc>
        <w:tc>
          <w:tcPr>
            <w:tcW w:w="1062" w:type="dxa"/>
            <w:vAlign w:val="center"/>
          </w:tcPr>
          <w:p w14:paraId="4F0E88F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0E32529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7E75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0C7F22C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20</w:t>
            </w:r>
          </w:p>
        </w:tc>
        <w:tc>
          <w:tcPr>
            <w:tcW w:w="774" w:type="dxa"/>
            <w:vMerge w:val="continue"/>
            <w:vAlign w:val="center"/>
          </w:tcPr>
          <w:p w14:paraId="41D23A0B">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69F8B141">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评价展示</w:t>
            </w:r>
          </w:p>
        </w:tc>
        <w:tc>
          <w:tcPr>
            <w:tcW w:w="3601" w:type="dxa"/>
            <w:vAlign w:val="center"/>
          </w:tcPr>
          <w:p w14:paraId="5480915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商品评价全网展示，作为选购依据。</w:t>
            </w:r>
          </w:p>
        </w:tc>
        <w:tc>
          <w:tcPr>
            <w:tcW w:w="1062" w:type="dxa"/>
            <w:vAlign w:val="center"/>
          </w:tcPr>
          <w:p w14:paraId="13F0FCF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2FABB04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5FF1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672C838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21</w:t>
            </w:r>
          </w:p>
        </w:tc>
        <w:tc>
          <w:tcPr>
            <w:tcW w:w="774" w:type="dxa"/>
            <w:vMerge w:val="continue"/>
            <w:vAlign w:val="center"/>
          </w:tcPr>
          <w:p w14:paraId="5F07A222">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005B0DE6">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网超申诉</w:t>
            </w:r>
          </w:p>
        </w:tc>
        <w:tc>
          <w:tcPr>
            <w:tcW w:w="3601" w:type="dxa"/>
            <w:vAlign w:val="center"/>
          </w:tcPr>
          <w:p w14:paraId="405F0F87">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支持网超采购人对供应商进行申诉，不同区划下，进行管理机构间的流转操作。</w:t>
            </w:r>
          </w:p>
        </w:tc>
        <w:tc>
          <w:tcPr>
            <w:tcW w:w="1062" w:type="dxa"/>
            <w:vAlign w:val="center"/>
          </w:tcPr>
          <w:p w14:paraId="2E36EEA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74CB7DE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0137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67931BB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22</w:t>
            </w:r>
          </w:p>
        </w:tc>
        <w:tc>
          <w:tcPr>
            <w:tcW w:w="774" w:type="dxa"/>
            <w:vMerge w:val="continue"/>
            <w:vAlign w:val="center"/>
          </w:tcPr>
          <w:p w14:paraId="04A22086">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73E714E5">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商品举报</w:t>
            </w:r>
          </w:p>
        </w:tc>
        <w:tc>
          <w:tcPr>
            <w:tcW w:w="3601" w:type="dxa"/>
            <w:vAlign w:val="center"/>
          </w:tcPr>
          <w:p w14:paraId="22DED206">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支持用户对网超商品进行举报以及运营的处理。</w:t>
            </w:r>
          </w:p>
        </w:tc>
        <w:tc>
          <w:tcPr>
            <w:tcW w:w="1062" w:type="dxa"/>
            <w:vAlign w:val="center"/>
          </w:tcPr>
          <w:p w14:paraId="1317B3E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522EB2A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3036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1F59C2C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23</w:t>
            </w:r>
          </w:p>
        </w:tc>
        <w:tc>
          <w:tcPr>
            <w:tcW w:w="774" w:type="dxa"/>
            <w:vMerge w:val="continue"/>
            <w:vAlign w:val="center"/>
          </w:tcPr>
          <w:p w14:paraId="61A7D583">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1819D221">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网超协议</w:t>
            </w:r>
          </w:p>
        </w:tc>
        <w:tc>
          <w:tcPr>
            <w:tcW w:w="3601" w:type="dxa"/>
            <w:vAlign w:val="center"/>
          </w:tcPr>
          <w:p w14:paraId="4E643477">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供应商录入网超入围协议，经财政审批通过后生效。</w:t>
            </w:r>
          </w:p>
        </w:tc>
        <w:tc>
          <w:tcPr>
            <w:tcW w:w="1062" w:type="dxa"/>
            <w:vAlign w:val="center"/>
          </w:tcPr>
          <w:p w14:paraId="62B4FD4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5C6FB74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5CD3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429282A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24</w:t>
            </w:r>
          </w:p>
        </w:tc>
        <w:tc>
          <w:tcPr>
            <w:tcW w:w="774" w:type="dxa"/>
            <w:vMerge w:val="continue"/>
            <w:vAlign w:val="center"/>
          </w:tcPr>
          <w:p w14:paraId="0CAD5CA1">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0AD8915D">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运费模板</w:t>
            </w:r>
          </w:p>
        </w:tc>
        <w:tc>
          <w:tcPr>
            <w:tcW w:w="3601" w:type="dxa"/>
            <w:vAlign w:val="center"/>
          </w:tcPr>
          <w:p w14:paraId="07D0B3A1">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供应商自定义运费模板，支持卖家承担运费，支持按件数、重量、体积</w:t>
            </w:r>
            <w:r>
              <w:rPr>
                <w:rFonts w:hint="eastAsia" w:ascii="Times New Roman" w:hAnsi="Times New Roman" w:eastAsia="宋体" w:cs="Times New Roman"/>
                <w:color w:val="000000"/>
                <w:szCs w:val="21"/>
                <w:highlight w:val="none"/>
              </w:rPr>
              <w:t>计</w:t>
            </w:r>
            <w:r>
              <w:rPr>
                <w:rFonts w:ascii="Times New Roman" w:hAnsi="Times New Roman" w:eastAsia="宋体" w:cs="Times New Roman"/>
                <w:color w:val="000000"/>
                <w:szCs w:val="21"/>
                <w:highlight w:val="none"/>
              </w:rPr>
              <w:t>价，支持为指定配送城市设置运费。</w:t>
            </w:r>
          </w:p>
        </w:tc>
        <w:tc>
          <w:tcPr>
            <w:tcW w:w="1062" w:type="dxa"/>
            <w:vAlign w:val="center"/>
          </w:tcPr>
          <w:p w14:paraId="14B52E4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328FD20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4066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5F1B582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25</w:t>
            </w:r>
          </w:p>
        </w:tc>
        <w:tc>
          <w:tcPr>
            <w:tcW w:w="774" w:type="dxa"/>
            <w:vMerge w:val="continue"/>
            <w:vAlign w:val="center"/>
          </w:tcPr>
          <w:p w14:paraId="591A0DD6">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2DC2803E">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发票配置</w:t>
            </w:r>
          </w:p>
        </w:tc>
        <w:tc>
          <w:tcPr>
            <w:tcW w:w="3601" w:type="dxa"/>
            <w:vAlign w:val="center"/>
          </w:tcPr>
          <w:p w14:paraId="696D2DC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货票同行、集中开票，发票类型、发票内容等配置。</w:t>
            </w:r>
          </w:p>
        </w:tc>
        <w:tc>
          <w:tcPr>
            <w:tcW w:w="1062" w:type="dxa"/>
            <w:vAlign w:val="center"/>
          </w:tcPr>
          <w:p w14:paraId="423B4A1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7C5D109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61E7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091B60A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26</w:t>
            </w:r>
          </w:p>
        </w:tc>
        <w:tc>
          <w:tcPr>
            <w:tcW w:w="774" w:type="dxa"/>
            <w:vMerge w:val="continue"/>
            <w:vAlign w:val="center"/>
          </w:tcPr>
          <w:p w14:paraId="4A39853B">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4D47410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规则配置</w:t>
            </w:r>
          </w:p>
        </w:tc>
        <w:tc>
          <w:tcPr>
            <w:tcW w:w="3601" w:type="dxa"/>
            <w:vAlign w:val="center"/>
          </w:tcPr>
          <w:p w14:paraId="1D58FD42">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财政对有采购计划订单是否必须有合同进行规则配置，以及是否所有订单必须有合同进行配置。</w:t>
            </w:r>
          </w:p>
        </w:tc>
        <w:tc>
          <w:tcPr>
            <w:tcW w:w="1062" w:type="dxa"/>
            <w:vAlign w:val="center"/>
          </w:tcPr>
          <w:p w14:paraId="4CF8852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142A47B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759D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1191970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27</w:t>
            </w:r>
          </w:p>
        </w:tc>
        <w:tc>
          <w:tcPr>
            <w:tcW w:w="774" w:type="dxa"/>
            <w:vMerge w:val="continue"/>
            <w:vAlign w:val="center"/>
          </w:tcPr>
          <w:p w14:paraId="6A82D748">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41A29F96">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规则配置</w:t>
            </w:r>
          </w:p>
        </w:tc>
        <w:tc>
          <w:tcPr>
            <w:tcW w:w="3601" w:type="dxa"/>
            <w:vAlign w:val="center"/>
          </w:tcPr>
          <w:p w14:paraId="3FFF1D5A">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监管部门对交易相关功能进行配置，配置内容包括但不限于采购目录、解密时长、匿名获取、公告审核、报价时长等。</w:t>
            </w:r>
          </w:p>
        </w:tc>
        <w:tc>
          <w:tcPr>
            <w:tcW w:w="1062" w:type="dxa"/>
            <w:vAlign w:val="center"/>
          </w:tcPr>
          <w:p w14:paraId="2527F9D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43753B9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0FC6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1D0A36D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28</w:t>
            </w:r>
          </w:p>
        </w:tc>
        <w:tc>
          <w:tcPr>
            <w:tcW w:w="774" w:type="dxa"/>
            <w:vMerge w:val="restart"/>
            <w:vAlign w:val="center"/>
          </w:tcPr>
          <w:p w14:paraId="2F12DEC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项目采购</w:t>
            </w:r>
          </w:p>
        </w:tc>
        <w:tc>
          <w:tcPr>
            <w:tcW w:w="1652" w:type="dxa"/>
            <w:vAlign w:val="center"/>
          </w:tcPr>
          <w:p w14:paraId="16A61375">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委托协议发起</w:t>
            </w:r>
          </w:p>
        </w:tc>
        <w:tc>
          <w:tcPr>
            <w:tcW w:w="3601" w:type="dxa"/>
            <w:vAlign w:val="center"/>
          </w:tcPr>
          <w:p w14:paraId="16D6F2CE">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采购单位向代理机构发起委托协议。经采双方审核后签订委托协议。</w:t>
            </w:r>
          </w:p>
        </w:tc>
        <w:tc>
          <w:tcPr>
            <w:tcW w:w="1062" w:type="dxa"/>
            <w:vAlign w:val="center"/>
          </w:tcPr>
          <w:p w14:paraId="7F9FDA3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59A7381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3519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6E320E7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29</w:t>
            </w:r>
          </w:p>
        </w:tc>
        <w:tc>
          <w:tcPr>
            <w:tcW w:w="774" w:type="dxa"/>
            <w:vMerge w:val="continue"/>
            <w:vAlign w:val="center"/>
          </w:tcPr>
          <w:p w14:paraId="578DB17E">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10B4C2CC">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发起委托单</w:t>
            </w:r>
          </w:p>
        </w:tc>
        <w:tc>
          <w:tcPr>
            <w:tcW w:w="3601" w:type="dxa"/>
            <w:vAlign w:val="center"/>
          </w:tcPr>
          <w:p w14:paraId="1A4ADEED">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lang w:bidi="ar"/>
              </w:rPr>
              <w:t>采购单位根据采购计划、采购需求、采购清单编制委托单向代理机构发出项目委托单，经双方审核后委托单生效。</w:t>
            </w:r>
            <w:r>
              <w:rPr>
                <w:rFonts w:ascii="Times New Roman" w:hAnsi="Times New Roman" w:eastAsia="宋体" w:cs="Times New Roman"/>
                <w:szCs w:val="21"/>
                <w:highlight w:val="none"/>
              </w:rPr>
              <w:t xml:space="preserve"> </w:t>
            </w:r>
          </w:p>
        </w:tc>
        <w:tc>
          <w:tcPr>
            <w:tcW w:w="1062" w:type="dxa"/>
            <w:vAlign w:val="center"/>
          </w:tcPr>
          <w:p w14:paraId="062928B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4699A1D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352E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0EDCF38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30</w:t>
            </w:r>
          </w:p>
        </w:tc>
        <w:tc>
          <w:tcPr>
            <w:tcW w:w="774" w:type="dxa"/>
            <w:vMerge w:val="continue"/>
            <w:vAlign w:val="center"/>
          </w:tcPr>
          <w:p w14:paraId="3F624E48">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712B318E">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采购任务分派</w:t>
            </w:r>
          </w:p>
        </w:tc>
        <w:tc>
          <w:tcPr>
            <w:tcW w:w="3601" w:type="dxa"/>
            <w:vAlign w:val="center"/>
          </w:tcPr>
          <w:p w14:paraId="213456FC">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代理机构内部分派委托单。可根据权限、流程设置，跨部门分派给具体操作员。可分派、退回，并查看委托单处理进度。</w:t>
            </w:r>
          </w:p>
        </w:tc>
        <w:tc>
          <w:tcPr>
            <w:tcW w:w="1062" w:type="dxa"/>
            <w:vAlign w:val="center"/>
          </w:tcPr>
          <w:p w14:paraId="3772E03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741B28E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2967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5E86575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31</w:t>
            </w:r>
          </w:p>
        </w:tc>
        <w:tc>
          <w:tcPr>
            <w:tcW w:w="774" w:type="dxa"/>
            <w:vMerge w:val="continue"/>
            <w:vAlign w:val="center"/>
          </w:tcPr>
          <w:p w14:paraId="450F9ADF">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1519EA8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生成项目</w:t>
            </w:r>
          </w:p>
        </w:tc>
        <w:tc>
          <w:tcPr>
            <w:tcW w:w="3601" w:type="dxa"/>
            <w:vAlign w:val="center"/>
          </w:tcPr>
          <w:p w14:paraId="388849E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根据采购计划，编写项目编号、项目名称、标项内容生成项目。可根据采购计划组合、拆分成多个项目、多个标项。</w:t>
            </w:r>
          </w:p>
        </w:tc>
        <w:tc>
          <w:tcPr>
            <w:tcW w:w="1062" w:type="dxa"/>
            <w:vAlign w:val="center"/>
          </w:tcPr>
          <w:p w14:paraId="796537D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4989A1E6">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3B09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254D3B3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32</w:t>
            </w:r>
          </w:p>
        </w:tc>
        <w:tc>
          <w:tcPr>
            <w:tcW w:w="774" w:type="dxa"/>
            <w:vMerge w:val="continue"/>
            <w:vAlign w:val="center"/>
          </w:tcPr>
          <w:p w14:paraId="6DE8F4D5">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7DC60287">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采购文件编制</w:t>
            </w:r>
          </w:p>
        </w:tc>
        <w:tc>
          <w:tcPr>
            <w:tcW w:w="3601" w:type="dxa"/>
            <w:vAlign w:val="center"/>
          </w:tcPr>
          <w:p w14:paraId="50DB3A7F">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根据项目制作采购文件。支持采购文件线上制作或线下制作，上传到平台。支持引用其他项目的采购文件快速编辑制作。支持对采购文件发起公示、发起论证。</w:t>
            </w:r>
          </w:p>
        </w:tc>
        <w:tc>
          <w:tcPr>
            <w:tcW w:w="1062" w:type="dxa"/>
            <w:vAlign w:val="center"/>
          </w:tcPr>
          <w:p w14:paraId="63D8081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3BE0AE4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r w14:paraId="2A3C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0E24B6E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33</w:t>
            </w:r>
          </w:p>
        </w:tc>
        <w:tc>
          <w:tcPr>
            <w:tcW w:w="774" w:type="dxa"/>
            <w:vMerge w:val="continue"/>
            <w:vAlign w:val="center"/>
          </w:tcPr>
          <w:p w14:paraId="29543970">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5BB84029">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供应商邀请</w:t>
            </w:r>
          </w:p>
        </w:tc>
        <w:tc>
          <w:tcPr>
            <w:tcW w:w="3601" w:type="dxa"/>
            <w:vAlign w:val="center"/>
          </w:tcPr>
          <w:p w14:paraId="1D77F4E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公告邀请、书面推荐的邀请方式，并支持对供应商进行资格预审。代理机构根据采购文件中确定的供应商邀请方式发起供应商邀请，其中公告邀请方式基于公告管理模块生成采购公告，并发布到法定媒体；书面推荐方式通过消息中心点对点邀请供应商。</w:t>
            </w:r>
          </w:p>
        </w:tc>
        <w:tc>
          <w:tcPr>
            <w:tcW w:w="1062" w:type="dxa"/>
            <w:vAlign w:val="center"/>
          </w:tcPr>
          <w:p w14:paraId="35B738A1">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384DD52D">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234C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386C4CB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34</w:t>
            </w:r>
          </w:p>
        </w:tc>
        <w:tc>
          <w:tcPr>
            <w:tcW w:w="774" w:type="dxa"/>
            <w:vMerge w:val="continue"/>
            <w:vAlign w:val="center"/>
          </w:tcPr>
          <w:p w14:paraId="7738682A">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3AD60ED5">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评审方法制定</w:t>
            </w:r>
          </w:p>
        </w:tc>
        <w:tc>
          <w:tcPr>
            <w:tcW w:w="3601" w:type="dxa"/>
            <w:vAlign w:val="center"/>
          </w:tcPr>
          <w:p w14:paraId="4CAEBA6A">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支持在线编辑评审方法，可自定义评分项内容，包含每一项最高分最低分以及是否客观分。支持评分办法总分的计算校验。</w:t>
            </w:r>
          </w:p>
        </w:tc>
        <w:tc>
          <w:tcPr>
            <w:tcW w:w="1062" w:type="dxa"/>
            <w:vAlign w:val="center"/>
          </w:tcPr>
          <w:p w14:paraId="14C9DC3F">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3F485205">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67AC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5FDF6D8F">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35</w:t>
            </w:r>
          </w:p>
        </w:tc>
        <w:tc>
          <w:tcPr>
            <w:tcW w:w="774" w:type="dxa"/>
            <w:vMerge w:val="continue"/>
            <w:vAlign w:val="center"/>
          </w:tcPr>
          <w:p w14:paraId="7744A626">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3CB7AA07">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锚点设置</w:t>
            </w:r>
          </w:p>
        </w:tc>
        <w:tc>
          <w:tcPr>
            <w:tcW w:w="3601" w:type="dxa"/>
            <w:vAlign w:val="center"/>
          </w:tcPr>
          <w:p w14:paraId="1F103E51">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锚点即资格审查、符合性审查以及评分项的定位。支持代理机构对项目资格审查、符合性审查及综合评分项等关键内容进行标记，并支持同一关键事项对应多个锚点。通过锚点指导供应商制作投标（响应）文件所需应答或关注的内容，方便专家对投标文件响应内容的查找、比对。</w:t>
            </w:r>
          </w:p>
        </w:tc>
        <w:tc>
          <w:tcPr>
            <w:tcW w:w="1062" w:type="dxa"/>
            <w:vAlign w:val="center"/>
          </w:tcPr>
          <w:p w14:paraId="0FAFA96B">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213CA371">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7F52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0D04F07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36</w:t>
            </w:r>
          </w:p>
        </w:tc>
        <w:tc>
          <w:tcPr>
            <w:tcW w:w="774" w:type="dxa"/>
            <w:vMerge w:val="continue"/>
            <w:vAlign w:val="center"/>
          </w:tcPr>
          <w:p w14:paraId="186AC2B3">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6BE0281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采购需求公示</w:t>
            </w:r>
          </w:p>
        </w:tc>
        <w:tc>
          <w:tcPr>
            <w:tcW w:w="3601" w:type="dxa"/>
            <w:vAlign w:val="center"/>
          </w:tcPr>
          <w:p w14:paraId="5396699C">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支持对采购需求发起公示。包括公示范围、发布时间、采购方式、采购类型、需求内容等。信息审核后，采购公示信息将发布到政采云平台相关行政区划公示。</w:t>
            </w:r>
          </w:p>
        </w:tc>
        <w:tc>
          <w:tcPr>
            <w:tcW w:w="1062" w:type="dxa"/>
            <w:vAlign w:val="center"/>
          </w:tcPr>
          <w:p w14:paraId="75EF3AFA">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1C6C3E34">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3F48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30487C4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37</w:t>
            </w:r>
          </w:p>
        </w:tc>
        <w:tc>
          <w:tcPr>
            <w:tcW w:w="774" w:type="dxa"/>
            <w:vMerge w:val="continue"/>
            <w:vAlign w:val="center"/>
          </w:tcPr>
          <w:p w14:paraId="5BAD1FBD">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04E0797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采购需求论证</w:t>
            </w:r>
          </w:p>
        </w:tc>
        <w:tc>
          <w:tcPr>
            <w:tcW w:w="3601" w:type="dxa"/>
            <w:vAlign w:val="center"/>
          </w:tcPr>
          <w:p w14:paraId="640BE093">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支持对采购需求发起论证。包括需求论证申请、专家意见录入、论证结果提交。</w:t>
            </w:r>
          </w:p>
        </w:tc>
        <w:tc>
          <w:tcPr>
            <w:tcW w:w="1062" w:type="dxa"/>
            <w:vAlign w:val="center"/>
          </w:tcPr>
          <w:p w14:paraId="2674B887">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2AC923B6">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0DF7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0A7F830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38</w:t>
            </w:r>
          </w:p>
        </w:tc>
        <w:tc>
          <w:tcPr>
            <w:tcW w:w="774" w:type="dxa"/>
            <w:vMerge w:val="continue"/>
            <w:vAlign w:val="center"/>
          </w:tcPr>
          <w:p w14:paraId="0936FC48">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7A9F9BF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采购文件审核</w:t>
            </w:r>
          </w:p>
        </w:tc>
        <w:tc>
          <w:tcPr>
            <w:tcW w:w="3601" w:type="dxa"/>
            <w:vAlign w:val="center"/>
          </w:tcPr>
          <w:p w14:paraId="7A752409">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委托代理机构组织采购的采购文件，需经代理机构管理岗、采购单位经办人审核后生效。采购单位自行组织采购的，采购文件由采购单位管理岗审核。当地财政监管部门，可设置是否审核采购文件。</w:t>
            </w:r>
          </w:p>
        </w:tc>
        <w:tc>
          <w:tcPr>
            <w:tcW w:w="1062" w:type="dxa"/>
            <w:vAlign w:val="center"/>
          </w:tcPr>
          <w:p w14:paraId="177CB108">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71D6F4B3">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453B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4A85382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39</w:t>
            </w:r>
          </w:p>
        </w:tc>
        <w:tc>
          <w:tcPr>
            <w:tcW w:w="774" w:type="dxa"/>
            <w:vMerge w:val="continue"/>
            <w:vAlign w:val="center"/>
          </w:tcPr>
          <w:p w14:paraId="00159D95">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7E8D1336">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采购公告制作</w:t>
            </w:r>
          </w:p>
        </w:tc>
        <w:tc>
          <w:tcPr>
            <w:tcW w:w="3601" w:type="dxa"/>
            <w:vAlign w:val="center"/>
          </w:tcPr>
          <w:p w14:paraId="3BC9A45A">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根据审核通过的采购文件，编辑报名起止时间、开标时间、开标地点、保证金缴纳截止时间等信息。</w:t>
            </w:r>
          </w:p>
        </w:tc>
        <w:tc>
          <w:tcPr>
            <w:tcW w:w="1062" w:type="dxa"/>
            <w:vAlign w:val="center"/>
          </w:tcPr>
          <w:p w14:paraId="04C25910">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7305327A">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4F52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48D132C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40</w:t>
            </w:r>
          </w:p>
        </w:tc>
        <w:tc>
          <w:tcPr>
            <w:tcW w:w="774" w:type="dxa"/>
            <w:vMerge w:val="continue"/>
            <w:vAlign w:val="center"/>
          </w:tcPr>
          <w:p w14:paraId="0C7B9841">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4EEBCDDE">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采购公告发布</w:t>
            </w:r>
          </w:p>
        </w:tc>
        <w:tc>
          <w:tcPr>
            <w:tcW w:w="3601" w:type="dxa"/>
            <w:vAlign w:val="center"/>
          </w:tcPr>
          <w:p w14:paraId="3BD8174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支持按财政部文件模板要求自动生成各类采购公告，支持自定义审核流程，审核通过后自动发布到指定平台。</w:t>
            </w:r>
          </w:p>
        </w:tc>
        <w:tc>
          <w:tcPr>
            <w:tcW w:w="1062" w:type="dxa"/>
            <w:vAlign w:val="center"/>
          </w:tcPr>
          <w:p w14:paraId="72DC2F19">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51EE2562">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74A2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000A56D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41</w:t>
            </w:r>
          </w:p>
        </w:tc>
        <w:tc>
          <w:tcPr>
            <w:tcW w:w="774" w:type="dxa"/>
            <w:vMerge w:val="continue"/>
            <w:vAlign w:val="center"/>
          </w:tcPr>
          <w:p w14:paraId="2965E7EC">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22C9840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采购文件获取管理</w:t>
            </w:r>
          </w:p>
        </w:tc>
        <w:tc>
          <w:tcPr>
            <w:tcW w:w="3601" w:type="dxa"/>
            <w:vAlign w:val="center"/>
          </w:tcPr>
          <w:p w14:paraId="795E8415">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供应商登录系统后查看未到获取采购文件截止时间的所有项目信息。支持监管部门配置本区划获取文件模式：审核或免审、匿名或实名、收费或免费。支持供应商在规定时间内获取采购文件，系统自动记录供应商获取采购文件的时间、IP地址等相关信息。</w:t>
            </w:r>
          </w:p>
        </w:tc>
        <w:tc>
          <w:tcPr>
            <w:tcW w:w="1062" w:type="dxa"/>
            <w:vAlign w:val="center"/>
          </w:tcPr>
          <w:p w14:paraId="0B599C6B">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080137CB">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723A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2FC338D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42</w:t>
            </w:r>
          </w:p>
        </w:tc>
        <w:tc>
          <w:tcPr>
            <w:tcW w:w="774" w:type="dxa"/>
            <w:vMerge w:val="continue"/>
            <w:vAlign w:val="center"/>
          </w:tcPr>
          <w:p w14:paraId="64293BAD">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303E19BE">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开标任务分派</w:t>
            </w:r>
          </w:p>
        </w:tc>
        <w:tc>
          <w:tcPr>
            <w:tcW w:w="3601" w:type="dxa"/>
            <w:vAlign w:val="center"/>
          </w:tcPr>
          <w:p w14:paraId="20DDCDDD">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支持开标任务分派，采购文件制作经办人可将项目分派至指定人员进行项目后续操作。</w:t>
            </w:r>
          </w:p>
        </w:tc>
        <w:tc>
          <w:tcPr>
            <w:tcW w:w="1062" w:type="dxa"/>
            <w:vAlign w:val="center"/>
          </w:tcPr>
          <w:p w14:paraId="1B0E0E30">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09BC970C">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6E09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2FFC10A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43</w:t>
            </w:r>
          </w:p>
        </w:tc>
        <w:tc>
          <w:tcPr>
            <w:tcW w:w="774" w:type="dxa"/>
            <w:vMerge w:val="continue"/>
            <w:vAlign w:val="center"/>
          </w:tcPr>
          <w:p w14:paraId="655F409B">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16A82F71">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发送评审邀请</w:t>
            </w:r>
          </w:p>
        </w:tc>
        <w:tc>
          <w:tcPr>
            <w:tcW w:w="3601" w:type="dxa"/>
            <w:vAlign w:val="center"/>
          </w:tcPr>
          <w:p w14:paraId="57677AFC">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支持代理机构向采购人发送评标邀请，邀请采购人安排采购人代表参与评审。支持评审邀请在开标前的撤回与重新发送。</w:t>
            </w:r>
          </w:p>
        </w:tc>
        <w:tc>
          <w:tcPr>
            <w:tcW w:w="1062" w:type="dxa"/>
            <w:vAlign w:val="center"/>
          </w:tcPr>
          <w:p w14:paraId="7B2F57A9">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3401428D">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600A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52EC08C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44</w:t>
            </w:r>
          </w:p>
        </w:tc>
        <w:tc>
          <w:tcPr>
            <w:tcW w:w="774" w:type="dxa"/>
            <w:vMerge w:val="continue"/>
            <w:vAlign w:val="center"/>
          </w:tcPr>
          <w:p w14:paraId="3960D327">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1D1F29D6">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评标邀请确认</w:t>
            </w:r>
          </w:p>
        </w:tc>
        <w:tc>
          <w:tcPr>
            <w:tcW w:w="3601" w:type="dxa"/>
            <w:vAlign w:val="center"/>
          </w:tcPr>
          <w:p w14:paraId="752B3F16">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支持采购人对代理机构发送的评标邀请进行回复，确认是否派代表参加评标并填写代表的基本信息。</w:t>
            </w:r>
          </w:p>
        </w:tc>
        <w:tc>
          <w:tcPr>
            <w:tcW w:w="1062" w:type="dxa"/>
            <w:vAlign w:val="center"/>
          </w:tcPr>
          <w:p w14:paraId="591B0234">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29B73E8B">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16A8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2698B652">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45</w:t>
            </w:r>
          </w:p>
        </w:tc>
        <w:tc>
          <w:tcPr>
            <w:tcW w:w="774" w:type="dxa"/>
            <w:vMerge w:val="continue"/>
            <w:vAlign w:val="center"/>
          </w:tcPr>
          <w:p w14:paraId="28CA67AE">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3D8215C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评标场地</w:t>
            </w:r>
          </w:p>
        </w:tc>
        <w:tc>
          <w:tcPr>
            <w:tcW w:w="3601" w:type="dxa"/>
            <w:vAlign w:val="center"/>
          </w:tcPr>
          <w:p w14:paraId="00682576">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经办人可查看本单位所有场地的使用情况，也可手工新增会议，若会议新增时与已有会议冲突，可发起拼会审核流程。</w:t>
            </w:r>
          </w:p>
        </w:tc>
        <w:tc>
          <w:tcPr>
            <w:tcW w:w="1062" w:type="dxa"/>
            <w:vAlign w:val="center"/>
          </w:tcPr>
          <w:p w14:paraId="403D3858">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372A8CFB">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1701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15651CC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46</w:t>
            </w:r>
          </w:p>
        </w:tc>
        <w:tc>
          <w:tcPr>
            <w:tcW w:w="774" w:type="dxa"/>
            <w:vMerge w:val="continue"/>
            <w:vAlign w:val="center"/>
          </w:tcPr>
          <w:p w14:paraId="2026AFEE">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5BF926EA">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评标拼会审核</w:t>
            </w:r>
          </w:p>
        </w:tc>
        <w:tc>
          <w:tcPr>
            <w:tcW w:w="3601" w:type="dxa"/>
            <w:vAlign w:val="center"/>
          </w:tcPr>
          <w:p w14:paraId="687C6BAF">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审核人可审核本单位场地的拼会申请，若审核通过，拼会成功。</w:t>
            </w:r>
          </w:p>
        </w:tc>
        <w:tc>
          <w:tcPr>
            <w:tcW w:w="1062" w:type="dxa"/>
            <w:vAlign w:val="center"/>
          </w:tcPr>
          <w:p w14:paraId="0B20ED15">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0199666E">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65F6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42A2178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44</w:t>
            </w:r>
          </w:p>
        </w:tc>
        <w:tc>
          <w:tcPr>
            <w:tcW w:w="774" w:type="dxa"/>
            <w:vMerge w:val="continue"/>
            <w:vAlign w:val="center"/>
          </w:tcPr>
          <w:p w14:paraId="4969D9DA">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60F89B7F">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标书在线制作</w:t>
            </w:r>
          </w:p>
        </w:tc>
        <w:tc>
          <w:tcPr>
            <w:tcW w:w="3601" w:type="dxa"/>
            <w:vAlign w:val="center"/>
          </w:tcPr>
          <w:p w14:paraId="664EA033">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供应商对照采购文件要求，在线或者离线编辑投标（响应）文件，并根据锚点关联资格审查、符合性审查、评分项的具体响应章节，加盖电子签章，生成有效的电子版投标（响应）文件。支持根据采购文件中的评分项关联标书中的相应点。支持单页、多页、骑缝加盖CA签章后自动生成加密以及备份标书。支持CA环境检测、文件信息完整性及有效性校验提醒。</w:t>
            </w:r>
          </w:p>
        </w:tc>
        <w:tc>
          <w:tcPr>
            <w:tcW w:w="1062" w:type="dxa"/>
            <w:vAlign w:val="center"/>
          </w:tcPr>
          <w:p w14:paraId="7303A02D">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76EDC477">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418B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4449328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46</w:t>
            </w:r>
          </w:p>
        </w:tc>
        <w:tc>
          <w:tcPr>
            <w:tcW w:w="774" w:type="dxa"/>
            <w:vMerge w:val="continue"/>
            <w:vAlign w:val="center"/>
          </w:tcPr>
          <w:p w14:paraId="27B8F1D7">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067E5821">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投标文件上传</w:t>
            </w:r>
          </w:p>
        </w:tc>
        <w:tc>
          <w:tcPr>
            <w:tcW w:w="3601" w:type="dxa"/>
            <w:vAlign w:val="center"/>
          </w:tcPr>
          <w:p w14:paraId="0A99334E">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支持供应商在线上传电子加密投标（响应）文件，并填写相关基础信息。支持对投标（响应）文件是否匹配项目的校验。支持供应商在规定时间内撤回或重新上传投标（响应）文件。</w:t>
            </w:r>
          </w:p>
        </w:tc>
        <w:tc>
          <w:tcPr>
            <w:tcW w:w="1062" w:type="dxa"/>
            <w:vAlign w:val="center"/>
          </w:tcPr>
          <w:p w14:paraId="290FE628">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7A4C56D9">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6086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175DA26D">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color w:val="000000"/>
                <w:szCs w:val="21"/>
                <w:highlight w:val="none"/>
              </w:rPr>
              <w:t>47</w:t>
            </w:r>
          </w:p>
        </w:tc>
        <w:tc>
          <w:tcPr>
            <w:tcW w:w="774" w:type="dxa"/>
            <w:vMerge w:val="continue"/>
            <w:vAlign w:val="center"/>
          </w:tcPr>
          <w:p w14:paraId="1D4DFC28">
            <w:pPr>
              <w:spacing w:line="0" w:lineRule="atLeast"/>
              <w:jc w:val="center"/>
              <w:rPr>
                <w:rFonts w:ascii="Times New Roman" w:hAnsi="Times New Roman" w:eastAsia="宋体" w:cs="Times New Roman"/>
                <w:szCs w:val="21"/>
                <w:highlight w:val="none"/>
              </w:rPr>
            </w:pPr>
          </w:p>
        </w:tc>
        <w:tc>
          <w:tcPr>
            <w:tcW w:w="1652" w:type="dxa"/>
            <w:vAlign w:val="center"/>
          </w:tcPr>
          <w:p w14:paraId="06D6B87A">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评审小组设置</w:t>
            </w:r>
          </w:p>
        </w:tc>
        <w:tc>
          <w:tcPr>
            <w:tcW w:w="3601" w:type="dxa"/>
            <w:vAlign w:val="center"/>
          </w:tcPr>
          <w:p w14:paraId="308FA3E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代理机构经办人可进行专家签到、临时补录专家、设置专家组长。打印专家签到表、专家廉洁自律承诺书、专家费领取表、评审工作底稿。</w:t>
            </w:r>
          </w:p>
        </w:tc>
        <w:tc>
          <w:tcPr>
            <w:tcW w:w="1062" w:type="dxa"/>
            <w:vAlign w:val="center"/>
          </w:tcPr>
          <w:p w14:paraId="547BB744">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7625EAF9">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4136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7CA3A8B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48</w:t>
            </w:r>
          </w:p>
        </w:tc>
        <w:tc>
          <w:tcPr>
            <w:tcW w:w="774" w:type="dxa"/>
            <w:vMerge w:val="continue"/>
            <w:vAlign w:val="center"/>
          </w:tcPr>
          <w:p w14:paraId="427A7130">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00F2FF2D">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专家签到</w:t>
            </w:r>
          </w:p>
        </w:tc>
        <w:tc>
          <w:tcPr>
            <w:tcW w:w="3601" w:type="dxa"/>
            <w:vAlign w:val="center"/>
          </w:tcPr>
          <w:p w14:paraId="7A56E187">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支持专家登录平台，点击评审项目完成签到。系统自动记录专家签到时间。</w:t>
            </w:r>
          </w:p>
        </w:tc>
        <w:tc>
          <w:tcPr>
            <w:tcW w:w="1062" w:type="dxa"/>
            <w:vAlign w:val="center"/>
          </w:tcPr>
          <w:p w14:paraId="00F22D28">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707C10B2">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2755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3403ECA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49</w:t>
            </w:r>
          </w:p>
        </w:tc>
        <w:tc>
          <w:tcPr>
            <w:tcW w:w="774" w:type="dxa"/>
            <w:vMerge w:val="continue"/>
            <w:vAlign w:val="center"/>
          </w:tcPr>
          <w:p w14:paraId="105D70FD">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0AEDC6C9">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在线承诺</w:t>
            </w:r>
          </w:p>
        </w:tc>
        <w:tc>
          <w:tcPr>
            <w:tcW w:w="3601" w:type="dxa"/>
            <w:vAlign w:val="center"/>
          </w:tcPr>
          <w:p w14:paraId="609915BD">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支持专家评审前展示审查纪律以及承诺书，强制阅读10秒后可关闭。</w:t>
            </w:r>
          </w:p>
        </w:tc>
        <w:tc>
          <w:tcPr>
            <w:tcW w:w="1062" w:type="dxa"/>
            <w:vAlign w:val="center"/>
          </w:tcPr>
          <w:p w14:paraId="27811A7A">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1547AE03">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78A2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23EFFC6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50</w:t>
            </w:r>
          </w:p>
        </w:tc>
        <w:tc>
          <w:tcPr>
            <w:tcW w:w="774" w:type="dxa"/>
            <w:vMerge w:val="continue"/>
            <w:vAlign w:val="center"/>
          </w:tcPr>
          <w:p w14:paraId="19BBD55A">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3BA42A4F">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在线回避</w:t>
            </w:r>
          </w:p>
        </w:tc>
        <w:tc>
          <w:tcPr>
            <w:tcW w:w="3601" w:type="dxa"/>
            <w:vAlign w:val="center"/>
          </w:tcPr>
          <w:p w14:paraId="7DB0CB17">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支持展示专家评审标项的投标供应商相关信息，专家可对是否需要回避进行确认。</w:t>
            </w:r>
          </w:p>
        </w:tc>
        <w:tc>
          <w:tcPr>
            <w:tcW w:w="1062" w:type="dxa"/>
            <w:vAlign w:val="center"/>
          </w:tcPr>
          <w:p w14:paraId="7B61E4C2">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773FF140">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4D1F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250475C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51</w:t>
            </w:r>
          </w:p>
        </w:tc>
        <w:tc>
          <w:tcPr>
            <w:tcW w:w="774" w:type="dxa"/>
            <w:vMerge w:val="continue"/>
            <w:vAlign w:val="center"/>
          </w:tcPr>
          <w:p w14:paraId="0E4276B3">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27045D1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项目开标</w:t>
            </w:r>
          </w:p>
        </w:tc>
        <w:tc>
          <w:tcPr>
            <w:tcW w:w="3601" w:type="dxa"/>
            <w:vAlign w:val="center"/>
          </w:tcPr>
          <w:p w14:paraId="04401E1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根据采购文件设置的开标记录要求，登记各签到供应商开标是否符合、报价、保证金、法人授权函等信息，支持打印开标记录表。</w:t>
            </w:r>
          </w:p>
        </w:tc>
        <w:tc>
          <w:tcPr>
            <w:tcW w:w="1062" w:type="dxa"/>
            <w:vAlign w:val="center"/>
          </w:tcPr>
          <w:p w14:paraId="23CB985A">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1A71EBD0">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3606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45BF08A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52</w:t>
            </w:r>
          </w:p>
        </w:tc>
        <w:tc>
          <w:tcPr>
            <w:tcW w:w="774" w:type="dxa"/>
            <w:vMerge w:val="continue"/>
            <w:vAlign w:val="center"/>
          </w:tcPr>
          <w:p w14:paraId="4E9BA25D">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05B00A3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资格审查</w:t>
            </w:r>
          </w:p>
        </w:tc>
        <w:tc>
          <w:tcPr>
            <w:tcW w:w="3601" w:type="dxa"/>
            <w:vAlign w:val="center"/>
          </w:tcPr>
          <w:p w14:paraId="16826D2C">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支持审查主体在线完成投标（响应）文件资格证明材料的审查，支持单项或总体评审意见填写。</w:t>
            </w:r>
          </w:p>
        </w:tc>
        <w:tc>
          <w:tcPr>
            <w:tcW w:w="1062" w:type="dxa"/>
            <w:vAlign w:val="center"/>
          </w:tcPr>
          <w:p w14:paraId="29D7FAAD">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4C3BB177">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11F3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539AF02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53</w:t>
            </w:r>
          </w:p>
        </w:tc>
        <w:tc>
          <w:tcPr>
            <w:tcW w:w="774" w:type="dxa"/>
            <w:vMerge w:val="continue"/>
            <w:vAlign w:val="center"/>
          </w:tcPr>
          <w:p w14:paraId="2C44F1C1">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2BACE94F">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符合性审查</w:t>
            </w:r>
          </w:p>
        </w:tc>
        <w:tc>
          <w:tcPr>
            <w:tcW w:w="3601" w:type="dxa"/>
            <w:vAlign w:val="center"/>
          </w:tcPr>
          <w:p w14:paraId="381A848A">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支持审查主体在线完成投标（响应）文件的符合性审查，支持单项或总体符合性审查意见填写。</w:t>
            </w:r>
          </w:p>
        </w:tc>
        <w:tc>
          <w:tcPr>
            <w:tcW w:w="1062" w:type="dxa"/>
            <w:vAlign w:val="center"/>
          </w:tcPr>
          <w:p w14:paraId="13C22FEC">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79015E86">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0C4B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66DD826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54</w:t>
            </w:r>
          </w:p>
        </w:tc>
        <w:tc>
          <w:tcPr>
            <w:tcW w:w="774" w:type="dxa"/>
            <w:vMerge w:val="continue"/>
            <w:vAlign w:val="center"/>
          </w:tcPr>
          <w:p w14:paraId="603B01D3">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5E8B392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废标</w:t>
            </w:r>
          </w:p>
        </w:tc>
        <w:tc>
          <w:tcPr>
            <w:tcW w:w="3601" w:type="dxa"/>
            <w:vAlign w:val="center"/>
          </w:tcPr>
          <w:p w14:paraId="20660A22">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评标过程中，在资格审查、符合性评审等各个评标阶段，采购代理机构、专家如是审查主体，可</w:t>
            </w:r>
            <w:r>
              <w:rPr>
                <w:rFonts w:hint="eastAsia" w:ascii="Times New Roman" w:hAnsi="Times New Roman" w:eastAsia="宋体" w:cs="Times New Roman"/>
                <w:color w:val="000000"/>
                <w:szCs w:val="21"/>
                <w:highlight w:val="none"/>
              </w:rPr>
              <w:t>作</w:t>
            </w:r>
            <w:r>
              <w:rPr>
                <w:rFonts w:ascii="Times New Roman" w:hAnsi="Times New Roman" w:eastAsia="宋体" w:cs="Times New Roman"/>
                <w:color w:val="000000"/>
                <w:szCs w:val="21"/>
                <w:highlight w:val="none"/>
              </w:rPr>
              <w:t>废标操作。</w:t>
            </w:r>
          </w:p>
        </w:tc>
        <w:tc>
          <w:tcPr>
            <w:tcW w:w="1062" w:type="dxa"/>
            <w:vAlign w:val="center"/>
          </w:tcPr>
          <w:p w14:paraId="602AC3C3">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33C5602F">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3AA1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394E5405">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55</w:t>
            </w:r>
          </w:p>
        </w:tc>
        <w:tc>
          <w:tcPr>
            <w:tcW w:w="774" w:type="dxa"/>
            <w:vMerge w:val="continue"/>
            <w:vAlign w:val="center"/>
          </w:tcPr>
          <w:p w14:paraId="5B132B08">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64CD11E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询标</w:t>
            </w:r>
          </w:p>
        </w:tc>
        <w:tc>
          <w:tcPr>
            <w:tcW w:w="3601" w:type="dxa"/>
            <w:vAlign w:val="center"/>
          </w:tcPr>
          <w:p w14:paraId="0579378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对各专家对各供应商的询标问题、供应商答复情况进行记录，包含在线询问、答复、音视频交流等。</w:t>
            </w:r>
          </w:p>
        </w:tc>
        <w:tc>
          <w:tcPr>
            <w:tcW w:w="1062" w:type="dxa"/>
            <w:vAlign w:val="center"/>
          </w:tcPr>
          <w:p w14:paraId="7FAD9058">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3EAF5AF8">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21E8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4CD9DAA7">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56</w:t>
            </w:r>
          </w:p>
        </w:tc>
        <w:tc>
          <w:tcPr>
            <w:tcW w:w="774" w:type="dxa"/>
            <w:vMerge w:val="continue"/>
            <w:vAlign w:val="center"/>
          </w:tcPr>
          <w:p w14:paraId="240FB6D9">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260C454C">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专家评审</w:t>
            </w:r>
          </w:p>
        </w:tc>
        <w:tc>
          <w:tcPr>
            <w:tcW w:w="3601" w:type="dxa"/>
            <w:vAlign w:val="center"/>
          </w:tcPr>
          <w:p w14:paraId="6BFA1CB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评审小组按照采购文件规定在线对投标（响应）文件进行独立评审，公开招标需支持技术部分盲评功能，评审专家在线评审时，支持单个或多个供应商响应文件同屏展示、同屏对比以及按锚点自动定位对应响应内容，便于评审。支持评审小组基于项目对供应商发起单次或多次询标函，询标函支持预设模板、附件上传。支持对客观分比对功能，当客观分评分不一致时，提醒评审专家予以核实处理。支持设定</w:t>
            </w:r>
            <w:r>
              <w:rPr>
                <w:rFonts w:hint="eastAsia" w:ascii="Times New Roman" w:hAnsi="Times New Roman" w:eastAsia="宋体" w:cs="Times New Roman"/>
                <w:color w:val="000000"/>
                <w:szCs w:val="21"/>
                <w:highlight w:val="none"/>
                <w:lang w:eastAsia="zh-CN"/>
              </w:rPr>
              <w:t>阈</w:t>
            </w:r>
            <w:r>
              <w:rPr>
                <w:rFonts w:ascii="Times New Roman" w:hAnsi="Times New Roman" w:eastAsia="宋体" w:cs="Times New Roman"/>
                <w:color w:val="000000"/>
                <w:szCs w:val="21"/>
                <w:highlight w:val="none"/>
              </w:rPr>
              <w:t>值，对评分畸高畸低的情形进行判断，提醒评审专家关注并予以判定。</w:t>
            </w:r>
          </w:p>
        </w:tc>
        <w:tc>
          <w:tcPr>
            <w:tcW w:w="1062" w:type="dxa"/>
            <w:vAlign w:val="center"/>
          </w:tcPr>
          <w:p w14:paraId="39698E04">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3809CBE2">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3275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5A60683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57</w:t>
            </w:r>
          </w:p>
        </w:tc>
        <w:tc>
          <w:tcPr>
            <w:tcW w:w="774" w:type="dxa"/>
            <w:vMerge w:val="continue"/>
            <w:vAlign w:val="center"/>
          </w:tcPr>
          <w:p w14:paraId="786D1366">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6596A15C">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价格评分</w:t>
            </w:r>
          </w:p>
        </w:tc>
        <w:tc>
          <w:tcPr>
            <w:tcW w:w="3601" w:type="dxa"/>
            <w:vAlign w:val="center"/>
          </w:tcPr>
          <w:p w14:paraId="6B822262">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专家组长对报价有效性做评审。其他专家可查看报价评审结果，填写个人意见。</w:t>
            </w:r>
          </w:p>
        </w:tc>
        <w:tc>
          <w:tcPr>
            <w:tcW w:w="1062" w:type="dxa"/>
            <w:vAlign w:val="center"/>
          </w:tcPr>
          <w:p w14:paraId="411AF5DE">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6110BA00">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12AC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613A7FD4">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58</w:t>
            </w:r>
          </w:p>
        </w:tc>
        <w:tc>
          <w:tcPr>
            <w:tcW w:w="774" w:type="dxa"/>
            <w:vMerge w:val="continue"/>
            <w:vAlign w:val="center"/>
          </w:tcPr>
          <w:p w14:paraId="62ADADCA">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5DCDD0D5">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评分汇总</w:t>
            </w:r>
          </w:p>
        </w:tc>
        <w:tc>
          <w:tcPr>
            <w:tcW w:w="3601" w:type="dxa"/>
            <w:vAlign w:val="center"/>
          </w:tcPr>
          <w:p w14:paraId="0EB7051A">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汇总各项分值，专家评审意见，形成评审报告、得分汇总表、现场监督记录表。</w:t>
            </w:r>
          </w:p>
        </w:tc>
        <w:tc>
          <w:tcPr>
            <w:tcW w:w="1062" w:type="dxa"/>
            <w:vAlign w:val="center"/>
          </w:tcPr>
          <w:p w14:paraId="3EC2D23B">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2DA368F0">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6CB1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58D185E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59</w:t>
            </w:r>
          </w:p>
        </w:tc>
        <w:tc>
          <w:tcPr>
            <w:tcW w:w="774" w:type="dxa"/>
            <w:vMerge w:val="continue"/>
            <w:vAlign w:val="center"/>
          </w:tcPr>
          <w:p w14:paraId="3C0D2F2E">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5785440F">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评审报告签名</w:t>
            </w:r>
          </w:p>
        </w:tc>
        <w:tc>
          <w:tcPr>
            <w:tcW w:w="3601" w:type="dxa"/>
            <w:vAlign w:val="center"/>
          </w:tcPr>
          <w:p w14:paraId="1542453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支持评审小组、监督人、复核人员、经办人等角色通过手写板在线签名。支持经用户二次确认后一键完成所有相关报表签名。</w:t>
            </w:r>
          </w:p>
        </w:tc>
        <w:tc>
          <w:tcPr>
            <w:tcW w:w="1062" w:type="dxa"/>
            <w:vAlign w:val="center"/>
          </w:tcPr>
          <w:p w14:paraId="5E1D4A25">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68985072">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215D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47B7DE0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60</w:t>
            </w:r>
          </w:p>
        </w:tc>
        <w:tc>
          <w:tcPr>
            <w:tcW w:w="774" w:type="dxa"/>
            <w:vMerge w:val="continue"/>
            <w:vAlign w:val="center"/>
          </w:tcPr>
          <w:p w14:paraId="501E9766">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3CA5C1B9">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采购结果生成</w:t>
            </w:r>
          </w:p>
        </w:tc>
        <w:tc>
          <w:tcPr>
            <w:tcW w:w="3601" w:type="dxa"/>
            <w:vAlign w:val="center"/>
          </w:tcPr>
          <w:p w14:paraId="089D5EE6">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经办人查看采购结果信息，包括项目基本情况、评审小组组成、评审情况说明、报价信息等，填写经办人意见，如通过则发给采购单位确认，不通过则填写原因并退回重新评标。</w:t>
            </w:r>
          </w:p>
        </w:tc>
        <w:tc>
          <w:tcPr>
            <w:tcW w:w="1062" w:type="dxa"/>
            <w:vAlign w:val="center"/>
          </w:tcPr>
          <w:p w14:paraId="5AAF6F29">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389341AA">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4A18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1AD6B49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61</w:t>
            </w:r>
          </w:p>
        </w:tc>
        <w:tc>
          <w:tcPr>
            <w:tcW w:w="774" w:type="dxa"/>
            <w:vMerge w:val="continue"/>
            <w:vAlign w:val="center"/>
          </w:tcPr>
          <w:p w14:paraId="79BD4803">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6B1760E3">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采购结果确认</w:t>
            </w:r>
          </w:p>
        </w:tc>
        <w:tc>
          <w:tcPr>
            <w:tcW w:w="3601" w:type="dxa"/>
            <w:vAlign w:val="center"/>
          </w:tcPr>
          <w:p w14:paraId="42CF13B3">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采购单位经办人对经由委托代理机构经办并审核通过的采购结果进行确认，若确认通过，采购结果生效，采购项目流转至待发中标通知书状态；若确认不通过或确认非第一名中标候选人的，应说明理由。</w:t>
            </w:r>
          </w:p>
        </w:tc>
        <w:tc>
          <w:tcPr>
            <w:tcW w:w="1062" w:type="dxa"/>
            <w:vAlign w:val="center"/>
          </w:tcPr>
          <w:p w14:paraId="270F4A22">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0C89C6D5">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392B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6DE67239">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62</w:t>
            </w:r>
          </w:p>
        </w:tc>
        <w:tc>
          <w:tcPr>
            <w:tcW w:w="774" w:type="dxa"/>
            <w:vMerge w:val="continue"/>
            <w:vAlign w:val="center"/>
          </w:tcPr>
          <w:p w14:paraId="1122874B">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5ACDFD1D">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采购结果公告</w:t>
            </w:r>
          </w:p>
        </w:tc>
        <w:tc>
          <w:tcPr>
            <w:tcW w:w="3601" w:type="dxa"/>
            <w:vAlign w:val="center"/>
          </w:tcPr>
          <w:p w14:paraId="0C0FCDC5">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支持按财政部文件模板要求自动生成采购结果公告，支持自定义审核流程，审核通过后自动发布到指定平台。</w:t>
            </w:r>
          </w:p>
        </w:tc>
        <w:tc>
          <w:tcPr>
            <w:tcW w:w="1062" w:type="dxa"/>
            <w:vAlign w:val="center"/>
          </w:tcPr>
          <w:p w14:paraId="44B741ED">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3719F065">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086F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656C7C0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63</w:t>
            </w:r>
          </w:p>
        </w:tc>
        <w:tc>
          <w:tcPr>
            <w:tcW w:w="774" w:type="dxa"/>
            <w:vMerge w:val="continue"/>
            <w:vAlign w:val="center"/>
          </w:tcPr>
          <w:p w14:paraId="5B41894F">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4CDDC4A2">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采购结果查询</w:t>
            </w:r>
          </w:p>
        </w:tc>
        <w:tc>
          <w:tcPr>
            <w:tcW w:w="3601" w:type="dxa"/>
            <w:vAlign w:val="center"/>
          </w:tcPr>
          <w:p w14:paraId="16A70E4F">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支持供应商查询已参与项目的采购结果，包括项目编号、项目名称、供应商本人总分排名或所有投标供应商总分排名。</w:t>
            </w:r>
          </w:p>
        </w:tc>
        <w:tc>
          <w:tcPr>
            <w:tcW w:w="1062" w:type="dxa"/>
            <w:vAlign w:val="center"/>
          </w:tcPr>
          <w:p w14:paraId="39EF2BC7">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1051A33B">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3DF4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7CA6AD9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64</w:t>
            </w:r>
          </w:p>
        </w:tc>
        <w:tc>
          <w:tcPr>
            <w:tcW w:w="774" w:type="dxa"/>
            <w:vMerge w:val="continue"/>
            <w:vAlign w:val="center"/>
          </w:tcPr>
          <w:p w14:paraId="45786FF1">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30BCA50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中标通知书发送</w:t>
            </w:r>
          </w:p>
        </w:tc>
        <w:tc>
          <w:tcPr>
            <w:tcW w:w="3601" w:type="dxa"/>
            <w:vAlign w:val="center"/>
          </w:tcPr>
          <w:p w14:paraId="388778C3">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支持代理机构配置本单位中标通知书模板，支持代理机构向中标供应商发送中标通知书，支持在线签章或手工上传中标通知书。</w:t>
            </w:r>
          </w:p>
        </w:tc>
        <w:tc>
          <w:tcPr>
            <w:tcW w:w="1062" w:type="dxa"/>
            <w:vAlign w:val="center"/>
          </w:tcPr>
          <w:p w14:paraId="6D5E9CBF">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35C3549D">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6E34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145068CE">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65</w:t>
            </w:r>
          </w:p>
        </w:tc>
        <w:tc>
          <w:tcPr>
            <w:tcW w:w="774" w:type="dxa"/>
            <w:vMerge w:val="continue"/>
            <w:vAlign w:val="center"/>
          </w:tcPr>
          <w:p w14:paraId="07BA9EED">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07A50C4B">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中标通知书查询</w:t>
            </w:r>
          </w:p>
        </w:tc>
        <w:tc>
          <w:tcPr>
            <w:tcW w:w="3601" w:type="dxa"/>
            <w:vAlign w:val="center"/>
          </w:tcPr>
          <w:p w14:paraId="2E14D3A4">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供应商可查看已报名项目的采购结果。中标项目，可下载中标通知书文件。中标通知书内容包括：供应商名称、项目编号、项目名称、中标金额、联系人、中标时间等信息。</w:t>
            </w:r>
          </w:p>
        </w:tc>
        <w:tc>
          <w:tcPr>
            <w:tcW w:w="1062" w:type="dxa"/>
            <w:vAlign w:val="center"/>
          </w:tcPr>
          <w:p w14:paraId="7070A014">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272B3406">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6E61A386">
        <w:tblPrEx>
          <w:tblCellMar>
            <w:top w:w="0" w:type="dxa"/>
            <w:left w:w="108" w:type="dxa"/>
            <w:bottom w:w="0" w:type="dxa"/>
            <w:right w:w="108" w:type="dxa"/>
          </w:tblCellMar>
        </w:tblPrEx>
        <w:trPr>
          <w:trHeight w:val="1173" w:hRule="atLeast"/>
          <w:jc w:val="center"/>
        </w:trPr>
        <w:tc>
          <w:tcPr>
            <w:tcW w:w="501" w:type="dxa"/>
            <w:vAlign w:val="center"/>
          </w:tcPr>
          <w:p w14:paraId="75D0F9F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66</w:t>
            </w:r>
          </w:p>
        </w:tc>
        <w:tc>
          <w:tcPr>
            <w:tcW w:w="774" w:type="dxa"/>
            <w:vMerge w:val="continue"/>
            <w:vAlign w:val="center"/>
          </w:tcPr>
          <w:p w14:paraId="2755367C">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7925BBEF">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合同生成</w:t>
            </w:r>
          </w:p>
        </w:tc>
        <w:tc>
          <w:tcPr>
            <w:tcW w:w="3601" w:type="dxa"/>
            <w:vAlign w:val="center"/>
          </w:tcPr>
          <w:p w14:paraId="43B1633E">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采购单位填写合同信息包括：供应商、中标金额、合同金额、供应商开户行信息、支付方式、商务条款等内容，并上传合同扫描件，生成合同。</w:t>
            </w:r>
          </w:p>
        </w:tc>
        <w:tc>
          <w:tcPr>
            <w:tcW w:w="1062" w:type="dxa"/>
            <w:vAlign w:val="center"/>
          </w:tcPr>
          <w:p w14:paraId="208BE63E">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34FB9FAB">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6134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7412BC73">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67</w:t>
            </w:r>
          </w:p>
        </w:tc>
        <w:tc>
          <w:tcPr>
            <w:tcW w:w="774" w:type="dxa"/>
            <w:vMerge w:val="continue"/>
            <w:vAlign w:val="center"/>
          </w:tcPr>
          <w:p w14:paraId="56A99669">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470039D3">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合同备案</w:t>
            </w:r>
          </w:p>
        </w:tc>
        <w:tc>
          <w:tcPr>
            <w:tcW w:w="3601" w:type="dxa"/>
            <w:vAlign w:val="center"/>
          </w:tcPr>
          <w:p w14:paraId="10A3D36A">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支持合同签订后对接备案至财政内网。支持采购人对已备案内网的合同进行撤销，撤销成功的合同状态变为待起草；已支付的合同不允许进行撤销。</w:t>
            </w:r>
          </w:p>
        </w:tc>
        <w:tc>
          <w:tcPr>
            <w:tcW w:w="1062" w:type="dxa"/>
            <w:vAlign w:val="center"/>
          </w:tcPr>
          <w:p w14:paraId="73D88F1B">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5F80A762">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5C37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17BDC8EA">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68</w:t>
            </w:r>
          </w:p>
        </w:tc>
        <w:tc>
          <w:tcPr>
            <w:tcW w:w="774" w:type="dxa"/>
            <w:vMerge w:val="continue"/>
            <w:vAlign w:val="center"/>
          </w:tcPr>
          <w:p w14:paraId="64210E37">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3092655E">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项目终止</w:t>
            </w:r>
          </w:p>
        </w:tc>
        <w:tc>
          <w:tcPr>
            <w:tcW w:w="3601" w:type="dxa"/>
            <w:vAlign w:val="center"/>
          </w:tcPr>
          <w:p w14:paraId="316DE1CF">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区划监管部门经办人可对本区划采购计划的所有项目进行暂停、终止操作，已暂停项目可还原至暂停前的流程节点，已终止项目不可逆。</w:t>
            </w:r>
          </w:p>
        </w:tc>
        <w:tc>
          <w:tcPr>
            <w:tcW w:w="1062" w:type="dxa"/>
            <w:vAlign w:val="center"/>
          </w:tcPr>
          <w:p w14:paraId="52C47D09">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3A79222A">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6E8E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65A857AC">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69</w:t>
            </w:r>
          </w:p>
        </w:tc>
        <w:tc>
          <w:tcPr>
            <w:tcW w:w="774" w:type="dxa"/>
            <w:vMerge w:val="continue"/>
            <w:vAlign w:val="center"/>
          </w:tcPr>
          <w:p w14:paraId="7DB89596">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4CB46D48">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采购计划退回</w:t>
            </w:r>
          </w:p>
        </w:tc>
        <w:tc>
          <w:tcPr>
            <w:tcW w:w="3601" w:type="dxa"/>
            <w:vAlign w:val="center"/>
          </w:tcPr>
          <w:p w14:paraId="656CD54C">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代理机构经办人可将待生成项目的采购计划单个或批量退回，审核人审核后退回至采购人采购计划模块。</w:t>
            </w:r>
          </w:p>
        </w:tc>
        <w:tc>
          <w:tcPr>
            <w:tcW w:w="1062" w:type="dxa"/>
            <w:vAlign w:val="center"/>
          </w:tcPr>
          <w:p w14:paraId="1DEAB8A2">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68B40E0C">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4829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5517F241">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70</w:t>
            </w:r>
          </w:p>
        </w:tc>
        <w:tc>
          <w:tcPr>
            <w:tcW w:w="774" w:type="dxa"/>
            <w:vMerge w:val="continue"/>
            <w:vAlign w:val="center"/>
          </w:tcPr>
          <w:p w14:paraId="11C9EFD9">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4CFD397F">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采购方式变更</w:t>
            </w:r>
          </w:p>
        </w:tc>
        <w:tc>
          <w:tcPr>
            <w:tcW w:w="3601" w:type="dxa"/>
            <w:vAlign w:val="center"/>
          </w:tcPr>
          <w:p w14:paraId="0E5DDB29">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经办人在遇到项目采购失败或特殊项目时（如公开招标2次仍然失败），为了完成采购人的项目采购需求，依据相关制度可以申请采购方式变更，变更申请需由区划财政采监部门审核，审核通过后变更生效。</w:t>
            </w:r>
          </w:p>
        </w:tc>
        <w:tc>
          <w:tcPr>
            <w:tcW w:w="1062" w:type="dxa"/>
            <w:vAlign w:val="center"/>
          </w:tcPr>
          <w:p w14:paraId="00CE23C2">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17245A0C">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200A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012E161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71</w:t>
            </w:r>
          </w:p>
        </w:tc>
        <w:tc>
          <w:tcPr>
            <w:tcW w:w="774" w:type="dxa"/>
            <w:vMerge w:val="continue"/>
            <w:vAlign w:val="center"/>
          </w:tcPr>
          <w:p w14:paraId="73A23B02">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28795505">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更正公告</w:t>
            </w:r>
          </w:p>
        </w:tc>
        <w:tc>
          <w:tcPr>
            <w:tcW w:w="3601" w:type="dxa"/>
            <w:vAlign w:val="center"/>
          </w:tcPr>
          <w:p w14:paraId="33BB0EC5">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支持代理机构发起采购文件更正、采购结果更正、项目终止。采购文件变更后，系统自动通过消息形式通知已获取文件的供应商。</w:t>
            </w:r>
          </w:p>
        </w:tc>
        <w:tc>
          <w:tcPr>
            <w:tcW w:w="1062" w:type="dxa"/>
            <w:vAlign w:val="center"/>
          </w:tcPr>
          <w:p w14:paraId="507AB98E">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102DAC25">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0243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7F548C28">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72</w:t>
            </w:r>
          </w:p>
        </w:tc>
        <w:tc>
          <w:tcPr>
            <w:tcW w:w="774" w:type="dxa"/>
            <w:vMerge w:val="continue"/>
            <w:vAlign w:val="center"/>
          </w:tcPr>
          <w:p w14:paraId="52617B14">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07267C9F">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委托协议查询</w:t>
            </w:r>
          </w:p>
        </w:tc>
        <w:tc>
          <w:tcPr>
            <w:tcW w:w="3601" w:type="dxa"/>
            <w:vAlign w:val="center"/>
          </w:tcPr>
          <w:p w14:paraId="01955B66">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按协议名称、采购人、采购代理机构关键字查询委托协议信息和当前状态。</w:t>
            </w:r>
          </w:p>
        </w:tc>
        <w:tc>
          <w:tcPr>
            <w:tcW w:w="1062" w:type="dxa"/>
            <w:vAlign w:val="center"/>
          </w:tcPr>
          <w:p w14:paraId="1B9B2C4F">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7AF75E29">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1D16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7D5B34F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73</w:t>
            </w:r>
          </w:p>
        </w:tc>
        <w:tc>
          <w:tcPr>
            <w:tcW w:w="774" w:type="dxa"/>
            <w:vMerge w:val="continue"/>
            <w:vAlign w:val="center"/>
          </w:tcPr>
          <w:p w14:paraId="2225648B">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56E3FF81">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委托单查询</w:t>
            </w:r>
          </w:p>
        </w:tc>
        <w:tc>
          <w:tcPr>
            <w:tcW w:w="3601" w:type="dxa"/>
            <w:vAlign w:val="center"/>
          </w:tcPr>
          <w:p w14:paraId="3E7B53B2">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按委托单名称、采购人、采购代理机构关键字查询委托单信息和当前状态。</w:t>
            </w:r>
          </w:p>
        </w:tc>
        <w:tc>
          <w:tcPr>
            <w:tcW w:w="1062" w:type="dxa"/>
            <w:vAlign w:val="center"/>
          </w:tcPr>
          <w:p w14:paraId="60AF537E">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640F9A73">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5299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52D20CE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74</w:t>
            </w:r>
          </w:p>
        </w:tc>
        <w:tc>
          <w:tcPr>
            <w:tcW w:w="774" w:type="dxa"/>
            <w:vMerge w:val="continue"/>
            <w:vAlign w:val="center"/>
          </w:tcPr>
          <w:p w14:paraId="7FC360BC">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37F9B8BC">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采购计划查询</w:t>
            </w:r>
          </w:p>
        </w:tc>
        <w:tc>
          <w:tcPr>
            <w:tcW w:w="3601" w:type="dxa"/>
            <w:vAlign w:val="center"/>
          </w:tcPr>
          <w:p w14:paraId="4741767A">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分类查询集中采购、未生成项目、已生成项目的采购计划。</w:t>
            </w:r>
          </w:p>
        </w:tc>
        <w:tc>
          <w:tcPr>
            <w:tcW w:w="1062" w:type="dxa"/>
            <w:vAlign w:val="center"/>
          </w:tcPr>
          <w:p w14:paraId="250BAD01">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046A181D">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12F1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6B03E8DD">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75</w:t>
            </w:r>
          </w:p>
        </w:tc>
        <w:tc>
          <w:tcPr>
            <w:tcW w:w="774" w:type="dxa"/>
            <w:vMerge w:val="continue"/>
            <w:vAlign w:val="center"/>
          </w:tcPr>
          <w:p w14:paraId="51D6F9EE">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4EED276E">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项目查询</w:t>
            </w:r>
          </w:p>
        </w:tc>
        <w:tc>
          <w:tcPr>
            <w:tcW w:w="3601" w:type="dxa"/>
            <w:vAlign w:val="center"/>
          </w:tcPr>
          <w:p w14:paraId="39DE9FE0">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按项目编号、项目名称、采购单位关键字查询项目情况和项目状态。支持项目全链路节点（包括委托组织、招、投、开、评、定等系列流程）的业务动态查询、各角色的操作留痕记录。</w:t>
            </w:r>
          </w:p>
        </w:tc>
        <w:tc>
          <w:tcPr>
            <w:tcW w:w="1062" w:type="dxa"/>
            <w:vAlign w:val="center"/>
          </w:tcPr>
          <w:p w14:paraId="6211EA69">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929" w:type="dxa"/>
            <w:vAlign w:val="center"/>
          </w:tcPr>
          <w:p w14:paraId="75F4D979">
            <w:pPr>
              <w:spacing w:line="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r>
      <w:tr w14:paraId="2CAC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Align w:val="center"/>
          </w:tcPr>
          <w:p w14:paraId="754E61C6">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76</w:t>
            </w:r>
          </w:p>
        </w:tc>
        <w:tc>
          <w:tcPr>
            <w:tcW w:w="774" w:type="dxa"/>
            <w:vMerge w:val="continue"/>
            <w:vAlign w:val="center"/>
          </w:tcPr>
          <w:p w14:paraId="1DB7A19E">
            <w:pPr>
              <w:spacing w:line="0" w:lineRule="atLeast"/>
              <w:jc w:val="center"/>
              <w:rPr>
                <w:rFonts w:ascii="Times New Roman" w:hAnsi="Times New Roman" w:eastAsia="宋体" w:cs="Times New Roman"/>
                <w:color w:val="000000"/>
                <w:szCs w:val="21"/>
                <w:highlight w:val="none"/>
              </w:rPr>
            </w:pPr>
          </w:p>
        </w:tc>
        <w:tc>
          <w:tcPr>
            <w:tcW w:w="1652" w:type="dxa"/>
            <w:vAlign w:val="center"/>
          </w:tcPr>
          <w:p w14:paraId="0BBE908C">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更正公告查询</w:t>
            </w:r>
          </w:p>
        </w:tc>
        <w:tc>
          <w:tcPr>
            <w:tcW w:w="3601" w:type="dxa"/>
            <w:vAlign w:val="center"/>
          </w:tcPr>
          <w:p w14:paraId="521D1A52">
            <w:pPr>
              <w:spacing w:line="0" w:lineRule="atLeas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供应商可分类查看已获取文件、未获取</w:t>
            </w:r>
            <w:r>
              <w:rPr>
                <w:rFonts w:hint="eastAsia" w:ascii="Times New Roman" w:hAnsi="Times New Roman" w:eastAsia="宋体" w:cs="Times New Roman"/>
                <w:color w:val="000000"/>
                <w:szCs w:val="21"/>
                <w:highlight w:val="none"/>
                <w:lang w:eastAsia="zh-CN"/>
              </w:rPr>
              <w:t>文件</w:t>
            </w:r>
            <w:r>
              <w:rPr>
                <w:rFonts w:ascii="Times New Roman" w:hAnsi="Times New Roman" w:eastAsia="宋体" w:cs="Times New Roman"/>
                <w:color w:val="000000"/>
                <w:szCs w:val="21"/>
                <w:highlight w:val="none"/>
              </w:rPr>
              <w:t>项目的更正公告。</w:t>
            </w:r>
          </w:p>
        </w:tc>
        <w:tc>
          <w:tcPr>
            <w:tcW w:w="1062" w:type="dxa"/>
            <w:vAlign w:val="center"/>
          </w:tcPr>
          <w:p w14:paraId="324D932B">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c>
          <w:tcPr>
            <w:tcW w:w="929" w:type="dxa"/>
            <w:vAlign w:val="center"/>
          </w:tcPr>
          <w:p w14:paraId="4FC3B810">
            <w:pPr>
              <w:spacing w:line="0" w:lineRule="atLeast"/>
              <w:jc w:val="center"/>
              <w:rPr>
                <w:rFonts w:ascii="Times New Roman" w:hAnsi="Times New Roman" w:eastAsia="宋体" w:cs="Times New Roman"/>
                <w:color w:val="000000"/>
                <w:szCs w:val="21"/>
                <w:highlight w:val="none"/>
              </w:rPr>
            </w:pPr>
            <w:r>
              <w:rPr>
                <w:rFonts w:ascii="Times New Roman" w:hAnsi="Times New Roman" w:eastAsia="宋体" w:cs="Times New Roman"/>
                <w:szCs w:val="21"/>
                <w:highlight w:val="none"/>
              </w:rPr>
              <w:t>●</w:t>
            </w:r>
          </w:p>
        </w:tc>
      </w:tr>
    </w:tbl>
    <w:p w14:paraId="710D3708">
      <w:pPr>
        <w:spacing w:line="460" w:lineRule="exact"/>
        <w:rPr>
          <w:rFonts w:ascii="Times New Roman" w:hAnsi="Times New Roman" w:eastAsia="宋体" w:cs="Times New Roman"/>
          <w:b/>
          <w:sz w:val="24"/>
          <w:highlight w:val="none"/>
        </w:rPr>
      </w:pPr>
    </w:p>
    <w:p w14:paraId="1F89C69F">
      <w:pPr>
        <w:rPr>
          <w:highlight w:val="none"/>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YzI2NDM3MzRkNGUxMjA3OGQ0YzMyMjVlMjIzZjQifQ=="/>
  </w:docVars>
  <w:rsids>
    <w:rsidRoot w:val="3E7B2D05"/>
    <w:rsid w:val="3E7B2D05"/>
    <w:rsid w:val="43FB552E"/>
    <w:rsid w:val="53EA1E5A"/>
    <w:rsid w:val="58FF9105"/>
    <w:rsid w:val="5E7FAC3F"/>
    <w:rsid w:val="5EF66825"/>
    <w:rsid w:val="6A857A6D"/>
    <w:rsid w:val="71FD3E1A"/>
    <w:rsid w:val="72C12741"/>
    <w:rsid w:val="743B8C37"/>
    <w:rsid w:val="779F1FCE"/>
    <w:rsid w:val="77BA81CE"/>
    <w:rsid w:val="7DFFBFE8"/>
    <w:rsid w:val="7EFF5B91"/>
    <w:rsid w:val="7FEFB481"/>
    <w:rsid w:val="97F9B5BF"/>
    <w:rsid w:val="B7EE6F3F"/>
    <w:rsid w:val="BDDA28B4"/>
    <w:rsid w:val="E4DD2AAD"/>
    <w:rsid w:val="E9EC4DBE"/>
    <w:rsid w:val="F757A3BE"/>
    <w:rsid w:val="FE6F0D8B"/>
    <w:rsid w:val="FEA3E610"/>
    <w:rsid w:val="FFF90237"/>
    <w:rsid w:val="FFFB3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微软雅黑" w:cs="宋体"/>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ascii="Calibri" w:hAnsi="Calibri" w:cs="Times New Roman"/>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customStyle="1" w:styleId="3">
    <w:name w:val="Default"/>
    <w:next w:val="1"/>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rPr>
      <w:rFonts w:ascii="Calibri" w:hAnsi="Calibri" w:cs="Times New Roman"/>
      <w:kern w:val="2"/>
      <w:sz w:val="24"/>
      <w:szCs w:val="20"/>
    </w:rPr>
  </w:style>
  <w:style w:type="paragraph" w:styleId="7">
    <w:name w:val="Body Text First Indent 2"/>
    <w:basedOn w:val="6"/>
    <w:qFormat/>
    <w:uiPriority w:val="0"/>
    <w:pPr>
      <w:widowControl w:val="0"/>
      <w:ind w:firstLine="420" w:firstLineChars="200"/>
      <w:jc w:val="both"/>
    </w:pPr>
    <w:rPr>
      <w:rFonts w:ascii="宋体" w:hAnsi="宋体" w:eastAsia="宋体"/>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18929</Words>
  <Characters>19306</Characters>
  <Lines>0</Lines>
  <Paragraphs>0</Paragraphs>
  <TotalTime>35</TotalTime>
  <ScaleCrop>false</ScaleCrop>
  <LinksUpToDate>false</LinksUpToDate>
  <CharactersWithSpaces>19328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2025-02-13T17:39:00Z</dcterms:created>
  <dc:creator>范海亮</dc:creator>
  <cp:lastModifiedBy>胡瑞芳</cp:lastModifiedBy>
  <dcterms:modified xsi:type="dcterms:W3CDTF">2025-02-13T09:06:36Z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A75E956BFA20F179BC9AAD67DA4B8643</vt:lpwstr>
  </property>
</Properties>
</file>