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s="仿宋"/>
          <w:bCs/>
          <w:sz w:val="44"/>
          <w:szCs w:val="44"/>
        </w:rPr>
      </w:pPr>
      <w:bookmarkStart w:id="0" w:name="_GoBack"/>
      <w:bookmarkEnd w:id="0"/>
      <w:r>
        <w:rPr>
          <w:rFonts w:hint="eastAsia" w:ascii="仿宋" w:hAnsi="仿宋" w:eastAsia="仿宋" w:cs="仿宋"/>
          <w:b/>
          <w:sz w:val="44"/>
          <w:szCs w:val="44"/>
        </w:rPr>
        <w:t xml:space="preserve">   </w:t>
      </w:r>
      <w:r>
        <w:rPr>
          <w:rFonts w:hint="eastAsia" w:ascii="方正小标宋简体" w:hAnsi="仿宋" w:eastAsia="方正小标宋简体" w:cs="仿宋"/>
          <w:bCs/>
          <w:sz w:val="44"/>
          <w:szCs w:val="44"/>
        </w:rPr>
        <w:t>采购需求（征求意见稿）</w:t>
      </w:r>
    </w:p>
    <w:p>
      <w:pPr>
        <w:adjustRightInd w:val="0"/>
        <w:spacing w:line="360" w:lineRule="atLeast"/>
        <w:ind w:left="420"/>
        <w:textAlignment w:val="baseline"/>
        <w:rPr>
          <w:rFonts w:hint="eastAsia" w:ascii="黑体" w:hAnsi="黑体" w:eastAsia="黑体"/>
          <w:sz w:val="24"/>
        </w:rPr>
      </w:pPr>
      <w:r>
        <w:rPr>
          <w:rFonts w:hint="eastAsia" w:ascii="黑体" w:hAnsi="黑体" w:eastAsia="黑体"/>
          <w:sz w:val="24"/>
        </w:rPr>
        <w:t>一、采购清单</w:t>
      </w:r>
    </w:p>
    <w:p>
      <w:pPr>
        <w:adjustRightInd w:val="0"/>
        <w:spacing w:line="360" w:lineRule="atLeast"/>
        <w:ind w:left="420"/>
        <w:textAlignment w:val="baseline"/>
        <w:rPr>
          <w:rFonts w:hint="eastAsia" w:ascii="黑体" w:hAnsi="黑体" w:eastAsia="黑体"/>
          <w:sz w:val="24"/>
        </w:rPr>
      </w:pPr>
    </w:p>
    <w:tbl>
      <w:tblPr>
        <w:tblStyle w:val="27"/>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794"/>
        <w:gridCol w:w="709"/>
        <w:gridCol w:w="1134"/>
        <w:gridCol w:w="1605"/>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03" w:type="dxa"/>
            <w:vAlign w:val="center"/>
          </w:tcPr>
          <w:p>
            <w:pPr>
              <w:spacing w:line="360" w:lineRule="auto"/>
              <w:ind w:left="-170" w:leftChars="-53" w:right="-163" w:rightChars="-51"/>
              <w:jc w:val="center"/>
              <w:rPr>
                <w:rFonts w:hint="eastAsia" w:ascii="宋体" w:hAnsi="宋体" w:cs="宋体"/>
                <w:b/>
                <w:kern w:val="0"/>
                <w:sz w:val="24"/>
              </w:rPr>
            </w:pPr>
            <w:r>
              <w:rPr>
                <w:rFonts w:hint="eastAsia" w:ascii="宋体" w:hAnsi="宋体" w:cs="宋体"/>
                <w:b/>
                <w:kern w:val="0"/>
                <w:sz w:val="24"/>
              </w:rPr>
              <w:t>序号</w:t>
            </w:r>
          </w:p>
        </w:tc>
        <w:tc>
          <w:tcPr>
            <w:tcW w:w="2794" w:type="dxa"/>
            <w:vAlign w:val="center"/>
          </w:tcPr>
          <w:p>
            <w:pPr>
              <w:widowControl/>
              <w:jc w:val="center"/>
              <w:textAlignment w:val="center"/>
              <w:rPr>
                <w:rFonts w:hint="eastAsia" w:ascii="宋体" w:hAnsi="宋体" w:eastAsia="宋体" w:cs="宋体"/>
                <w:b/>
                <w:bCs/>
                <w:color w:val="000000"/>
                <w:kern w:val="0"/>
                <w:sz w:val="18"/>
                <w:szCs w:val="18"/>
              </w:rPr>
            </w:pPr>
            <w:r>
              <w:rPr>
                <w:rFonts w:hint="eastAsia" w:ascii="宋体" w:hAnsi="宋体" w:cs="宋体"/>
                <w:b/>
                <w:kern w:val="0"/>
                <w:sz w:val="24"/>
              </w:rPr>
              <w:t>货物或服务名称</w:t>
            </w:r>
          </w:p>
        </w:tc>
        <w:tc>
          <w:tcPr>
            <w:tcW w:w="709" w:type="dxa"/>
            <w:noWrap/>
            <w:vAlign w:val="center"/>
          </w:tcPr>
          <w:p>
            <w:pPr>
              <w:widowControl/>
              <w:jc w:val="center"/>
              <w:textAlignment w:val="center"/>
              <w:rPr>
                <w:rFonts w:hint="eastAsia" w:ascii="宋体" w:hAnsi="宋体" w:cs="宋体"/>
                <w:b/>
                <w:kern w:val="0"/>
                <w:sz w:val="24"/>
              </w:rPr>
            </w:pPr>
            <w:r>
              <w:rPr>
                <w:rFonts w:hint="eastAsia" w:ascii="宋体" w:hAnsi="宋体" w:cs="宋体"/>
                <w:b/>
                <w:kern w:val="0"/>
                <w:sz w:val="24"/>
              </w:rPr>
              <w:t>数量</w:t>
            </w:r>
          </w:p>
        </w:tc>
        <w:tc>
          <w:tcPr>
            <w:tcW w:w="1134" w:type="dxa"/>
            <w:vAlign w:val="center"/>
          </w:tcPr>
          <w:p>
            <w:pPr>
              <w:widowControl/>
              <w:jc w:val="center"/>
              <w:textAlignment w:val="center"/>
              <w:rPr>
                <w:rFonts w:hint="eastAsia" w:ascii="宋体" w:hAnsi="宋体" w:cs="宋体"/>
                <w:b/>
                <w:kern w:val="0"/>
                <w:sz w:val="24"/>
              </w:rPr>
            </w:pPr>
            <w:r>
              <w:rPr>
                <w:rFonts w:hint="eastAsia" w:ascii="宋体" w:hAnsi="宋体" w:cs="宋体"/>
                <w:b/>
                <w:kern w:val="0"/>
                <w:sz w:val="24"/>
              </w:rPr>
              <w:t>单位</w:t>
            </w:r>
          </w:p>
        </w:tc>
        <w:tc>
          <w:tcPr>
            <w:tcW w:w="1605" w:type="dxa"/>
            <w:vAlign w:val="center"/>
          </w:tcPr>
          <w:p>
            <w:pPr>
              <w:widowControl/>
              <w:jc w:val="center"/>
              <w:textAlignment w:val="center"/>
              <w:rPr>
                <w:rFonts w:hint="eastAsia" w:ascii="宋体" w:hAnsi="宋体" w:cs="宋体"/>
                <w:b/>
                <w:kern w:val="0"/>
                <w:sz w:val="24"/>
              </w:rPr>
            </w:pPr>
            <w:r>
              <w:rPr>
                <w:rFonts w:hint="eastAsia" w:ascii="宋体" w:hAnsi="宋体" w:cs="宋体"/>
                <w:b/>
                <w:kern w:val="0"/>
                <w:sz w:val="24"/>
              </w:rPr>
              <w:t>所属行业</w:t>
            </w:r>
          </w:p>
        </w:tc>
        <w:tc>
          <w:tcPr>
            <w:tcW w:w="2049" w:type="dxa"/>
            <w:noWrap/>
            <w:vAlign w:val="center"/>
          </w:tcPr>
          <w:p>
            <w:pPr>
              <w:widowControl/>
              <w:jc w:val="center"/>
              <w:textAlignment w:val="center"/>
              <w:rPr>
                <w:rFonts w:hint="eastAsia" w:ascii="宋体" w:hAnsi="宋体" w:cs="宋体"/>
                <w:b/>
                <w:kern w:val="0"/>
                <w:sz w:val="24"/>
              </w:rPr>
            </w:pPr>
            <w:r>
              <w:rPr>
                <w:rFonts w:hint="eastAsia" w:ascii="宋体" w:hAnsi="宋体" w:cs="宋体"/>
                <w:b/>
                <w:kern w:val="0"/>
                <w:sz w:val="24"/>
              </w:rPr>
              <w:t>备注</w:t>
            </w:r>
          </w:p>
          <w:p>
            <w:pPr>
              <w:widowControl/>
              <w:jc w:val="center"/>
              <w:textAlignment w:val="center"/>
              <w:rPr>
                <w:rFonts w:hint="eastAsia" w:ascii="宋体" w:hAnsi="宋体" w:cs="宋体"/>
                <w:b/>
                <w:kern w:val="0"/>
                <w:sz w:val="24"/>
              </w:rPr>
            </w:pPr>
            <w:r>
              <w:rPr>
                <w:rFonts w:hint="eastAsia" w:ascii="宋体" w:hAnsi="宋体" w:cs="宋体"/>
                <w:b/>
                <w:kern w:val="0"/>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3" w:type="dxa"/>
            <w:noWrap/>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1</w:t>
            </w:r>
          </w:p>
        </w:tc>
        <w:tc>
          <w:tcPr>
            <w:tcW w:w="2794"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高新区新质生产力创新孵化器配套电器设备采购项目（详见货物清单）</w:t>
            </w:r>
          </w:p>
        </w:tc>
        <w:tc>
          <w:tcPr>
            <w:tcW w:w="709"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1</w:t>
            </w:r>
          </w:p>
        </w:tc>
        <w:tc>
          <w:tcPr>
            <w:tcW w:w="1134"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批</w:t>
            </w:r>
          </w:p>
        </w:tc>
        <w:tc>
          <w:tcPr>
            <w:tcW w:w="1605"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工业</w:t>
            </w:r>
          </w:p>
        </w:tc>
        <w:tc>
          <w:tcPr>
            <w:tcW w:w="2049"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音响及多媒体设备</w:t>
            </w:r>
          </w:p>
        </w:tc>
      </w:tr>
    </w:tbl>
    <w:p>
      <w:pPr>
        <w:widowControl/>
        <w:jc w:val="center"/>
        <w:textAlignment w:val="center"/>
        <w:rPr>
          <w:rFonts w:hint="eastAsia" w:ascii="宋体" w:hAnsi="宋体" w:cs="宋体"/>
          <w:sz w:val="24"/>
        </w:rPr>
      </w:pPr>
    </w:p>
    <w:p>
      <w:pPr>
        <w:adjustRightInd w:val="0"/>
        <w:spacing w:line="360" w:lineRule="auto"/>
        <w:ind w:firstLine="480" w:firstLineChars="200"/>
        <w:textAlignment w:val="baseline"/>
        <w:rPr>
          <w:rFonts w:hint="eastAsia" w:ascii="黑体" w:hAnsi="黑体" w:eastAsia="黑体" w:cs="宋体"/>
          <w:b/>
          <w:sz w:val="24"/>
        </w:rPr>
      </w:pPr>
      <w:r>
        <w:rPr>
          <w:rFonts w:hint="eastAsia" w:ascii="黑体" w:hAnsi="黑体" w:eastAsia="黑体" w:cs="宋体"/>
          <w:sz w:val="24"/>
        </w:rPr>
        <w:t>二、项目背景或概况（180字左右）</w:t>
      </w:r>
      <w:r>
        <w:rPr>
          <w:rFonts w:hint="eastAsia" w:ascii="黑体" w:hAnsi="黑体" w:eastAsia="黑体" w:cs="宋体"/>
          <w:b/>
          <w:sz w:val="24"/>
        </w:rPr>
        <w:t xml:space="preserve"> </w:t>
      </w:r>
    </w:p>
    <w:p>
      <w:pPr>
        <w:pStyle w:val="14"/>
        <w:spacing w:line="360" w:lineRule="auto"/>
        <w:ind w:firstLine="480" w:firstLineChars="200"/>
        <w:rPr>
          <w:rFonts w:hint="eastAsia" w:hAnsi="宋体" w:cs="宋体"/>
          <w:bCs/>
          <w:sz w:val="24"/>
        </w:rPr>
      </w:pPr>
      <w:r>
        <w:rPr>
          <w:rFonts w:hint="eastAsia" w:hAnsi="宋体" w:cs="宋体"/>
          <w:bCs/>
          <w:sz w:val="24"/>
        </w:rPr>
        <w:t>为全面落实创新驱动发展战略，加快高新区科技创新要素集聚，抢先引入一批具有成长潜力的新质生产力创新主体，在雄安高新区管委会大厦（雄安高新区服务中心）打造新质生产力创新孵化器。现拟结合工作实际，开展高新区新质生产力创新孵化器配套电器设备采购工作。采购内容包含办公台式电脑、多功能彩色打印机、会议音响及多媒体设备、会议平板一体机等。</w:t>
      </w:r>
    </w:p>
    <w:p>
      <w:pPr>
        <w:pStyle w:val="14"/>
        <w:numPr>
          <w:ilvl w:val="0"/>
          <w:numId w:val="1"/>
        </w:numPr>
        <w:spacing w:line="360" w:lineRule="auto"/>
        <w:rPr>
          <w:rFonts w:hint="eastAsia" w:ascii="黑体" w:hAnsi="黑体" w:eastAsia="黑体" w:cs="宋体"/>
          <w:bCs/>
          <w:sz w:val="24"/>
        </w:rPr>
      </w:pPr>
      <w:r>
        <w:rPr>
          <w:rFonts w:hint="eastAsia" w:ascii="黑体" w:hAnsi="黑体" w:eastAsia="黑体" w:cs="宋体"/>
          <w:bCs/>
          <w:sz w:val="24"/>
        </w:rPr>
        <w:t>拟采购标的的商务要求</w:t>
      </w:r>
    </w:p>
    <w:p>
      <w:pPr>
        <w:adjustRightInd w:val="0"/>
        <w:spacing w:line="360" w:lineRule="auto"/>
        <w:ind w:firstLine="480" w:firstLineChars="200"/>
        <w:textAlignment w:val="baseline"/>
        <w:rPr>
          <w:rFonts w:ascii="仿宋_GB2312"/>
          <w:bCs/>
          <w:sz w:val="24"/>
        </w:rPr>
      </w:pPr>
      <w:r>
        <w:rPr>
          <w:rFonts w:hint="eastAsia" w:ascii="仿宋_GB2312"/>
          <w:bCs/>
          <w:sz w:val="24"/>
        </w:rPr>
        <w:t>（一）报价要求</w:t>
      </w:r>
    </w:p>
    <w:p>
      <w:pPr>
        <w:adjustRightInd w:val="0"/>
        <w:spacing w:line="360" w:lineRule="auto"/>
        <w:ind w:firstLine="480" w:firstLineChars="200"/>
        <w:textAlignment w:val="baseline"/>
        <w:rPr>
          <w:rFonts w:ascii="仿宋_GB2312"/>
          <w:bCs/>
          <w:sz w:val="24"/>
        </w:rPr>
      </w:pPr>
      <w:r>
        <w:rPr>
          <w:rFonts w:hint="eastAsia" w:ascii="仿宋_GB2312"/>
          <w:bCs/>
          <w:sz w:val="24"/>
        </w:rPr>
        <w:t>1.本项目投标限价83.1万元。为响应雄安新区本级行政事业单位通用办公设备配置要求，对以下办公设备价格上限进行要求：</w:t>
      </w:r>
    </w:p>
    <w:p>
      <w:pPr>
        <w:adjustRightInd w:val="0"/>
        <w:spacing w:line="360" w:lineRule="auto"/>
        <w:ind w:firstLine="480" w:firstLineChars="200"/>
        <w:textAlignment w:val="baseline"/>
        <w:rPr>
          <w:rFonts w:ascii="仿宋_GB2312"/>
          <w:bCs/>
          <w:sz w:val="24"/>
        </w:rPr>
      </w:pPr>
    </w:p>
    <w:tbl>
      <w:tblPr>
        <w:tblStyle w:val="2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firstLineChars="200"/>
              <w:jc w:val="center"/>
              <w:outlineLvl w:val="1"/>
              <w:rPr>
                <w:rFonts w:hint="eastAsia" w:ascii="宋体" w:hAnsi="宋体" w:cs="宋体"/>
                <w:kern w:val="0"/>
                <w:sz w:val="24"/>
              </w:rPr>
            </w:pPr>
            <w:r>
              <w:rPr>
                <w:rFonts w:hint="eastAsia" w:ascii="宋体" w:hAnsi="宋体" w:cs="宋体"/>
                <w:kern w:val="0"/>
                <w:sz w:val="24"/>
              </w:rPr>
              <w:t>品类</w:t>
            </w:r>
          </w:p>
        </w:tc>
        <w:tc>
          <w:tcPr>
            <w:tcW w:w="2500" w:type="pct"/>
          </w:tcPr>
          <w:p>
            <w:pPr>
              <w:spacing w:line="360" w:lineRule="auto"/>
              <w:ind w:firstLine="480" w:firstLineChars="200"/>
              <w:jc w:val="center"/>
              <w:outlineLvl w:val="1"/>
              <w:rPr>
                <w:rFonts w:hint="eastAsia" w:ascii="宋体" w:hAnsi="宋体" w:cs="宋体"/>
                <w:kern w:val="0"/>
                <w:sz w:val="24"/>
              </w:rPr>
            </w:pPr>
            <w:r>
              <w:rPr>
                <w:rFonts w:hint="eastAsia" w:ascii="宋体" w:hAnsi="宋体" w:cs="宋体"/>
                <w:kern w:val="0"/>
                <w:sz w:val="24"/>
              </w:rPr>
              <w:t>价格上限（元）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0" w:type="pct"/>
          </w:tcPr>
          <w:p>
            <w:pPr>
              <w:spacing w:line="360" w:lineRule="auto"/>
              <w:ind w:firstLine="480" w:firstLineChars="200"/>
              <w:jc w:val="center"/>
              <w:outlineLvl w:val="1"/>
              <w:rPr>
                <w:rFonts w:ascii="仿宋_GB2312"/>
                <w:bCs/>
                <w:sz w:val="24"/>
              </w:rPr>
            </w:pPr>
            <w:r>
              <w:rPr>
                <w:rFonts w:hint="eastAsia" w:ascii="仿宋_GB2312"/>
                <w:bCs/>
                <w:sz w:val="24"/>
              </w:rPr>
              <w:t>多功能彩色打印机</w:t>
            </w:r>
          </w:p>
        </w:tc>
        <w:tc>
          <w:tcPr>
            <w:tcW w:w="2500" w:type="pct"/>
          </w:tcPr>
          <w:p>
            <w:pPr>
              <w:spacing w:line="360" w:lineRule="auto"/>
              <w:ind w:firstLine="480" w:firstLineChars="200"/>
              <w:jc w:val="center"/>
              <w:outlineLvl w:val="1"/>
              <w:rPr>
                <w:rFonts w:ascii="仿宋_GB2312"/>
                <w:bCs/>
                <w:sz w:val="24"/>
              </w:rPr>
            </w:pPr>
            <w:r>
              <w:rPr>
                <w:rFonts w:hint="eastAsia" w:ascii="仿宋_GB2312"/>
                <w:bCs/>
                <w:sz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firstLineChars="200"/>
              <w:jc w:val="center"/>
              <w:outlineLvl w:val="1"/>
              <w:rPr>
                <w:rFonts w:ascii="仿宋_GB2312"/>
                <w:bCs/>
                <w:sz w:val="24"/>
              </w:rPr>
            </w:pPr>
            <w:r>
              <w:rPr>
                <w:rFonts w:hint="eastAsia" w:ascii="仿宋_GB2312"/>
                <w:bCs/>
                <w:sz w:val="24"/>
              </w:rPr>
              <w:t>台式电脑</w:t>
            </w:r>
          </w:p>
        </w:tc>
        <w:tc>
          <w:tcPr>
            <w:tcW w:w="2500" w:type="pct"/>
          </w:tcPr>
          <w:p>
            <w:pPr>
              <w:spacing w:line="360" w:lineRule="auto"/>
              <w:ind w:firstLine="480" w:firstLineChars="200"/>
              <w:jc w:val="center"/>
              <w:outlineLvl w:val="1"/>
              <w:rPr>
                <w:rFonts w:ascii="仿宋_GB2312"/>
                <w:bCs/>
                <w:sz w:val="24"/>
              </w:rPr>
            </w:pPr>
            <w:r>
              <w:rPr>
                <w:rFonts w:hint="eastAsia" w:ascii="仿宋_GB2312"/>
                <w:bCs/>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line="360" w:lineRule="auto"/>
              <w:ind w:firstLine="480" w:firstLineChars="200"/>
              <w:jc w:val="center"/>
              <w:outlineLvl w:val="1"/>
              <w:rPr>
                <w:rFonts w:ascii="仿宋_GB2312"/>
                <w:bCs/>
                <w:sz w:val="24"/>
              </w:rPr>
            </w:pPr>
            <w:r>
              <w:rPr>
                <w:rFonts w:hint="eastAsia" w:ascii="仿宋_GB2312"/>
                <w:bCs/>
                <w:sz w:val="24"/>
              </w:rPr>
              <w:t>音响及多媒体设备</w:t>
            </w:r>
          </w:p>
        </w:tc>
        <w:tc>
          <w:tcPr>
            <w:tcW w:w="2500" w:type="pct"/>
          </w:tcPr>
          <w:p>
            <w:pPr>
              <w:spacing w:line="360" w:lineRule="auto"/>
              <w:ind w:firstLine="480" w:firstLineChars="200"/>
              <w:jc w:val="center"/>
              <w:outlineLvl w:val="1"/>
              <w:rPr>
                <w:rFonts w:ascii="仿宋_GB2312"/>
                <w:bCs/>
                <w:sz w:val="24"/>
              </w:rPr>
            </w:pPr>
            <w:r>
              <w:rPr>
                <w:rFonts w:hint="eastAsia" w:ascii="仿宋_GB2312"/>
                <w:bCs/>
                <w:sz w:val="24"/>
              </w:rPr>
              <w:t>80000</w:t>
            </w:r>
          </w:p>
        </w:tc>
      </w:tr>
    </w:tbl>
    <w:p>
      <w:pPr>
        <w:adjustRightInd w:val="0"/>
        <w:spacing w:line="360" w:lineRule="auto"/>
        <w:ind w:firstLine="480" w:firstLineChars="200"/>
        <w:textAlignment w:val="baseline"/>
        <w:rPr>
          <w:bCs/>
          <w:sz w:val="24"/>
        </w:rPr>
      </w:pPr>
      <w:r>
        <w:rPr>
          <w:rFonts w:hint="eastAsia"/>
          <w:bCs/>
          <w:sz w:val="24"/>
        </w:rPr>
        <w:t>注：价格上限中的价格是指单（台、套、件、组）设备的价格。</w:t>
      </w:r>
    </w:p>
    <w:p>
      <w:pPr>
        <w:adjustRightInd w:val="0"/>
        <w:spacing w:line="360" w:lineRule="auto"/>
        <w:ind w:firstLine="480" w:firstLineChars="200"/>
        <w:textAlignment w:val="baseline"/>
        <w:rPr>
          <w:bCs/>
          <w:sz w:val="24"/>
        </w:rPr>
      </w:pPr>
      <w:r>
        <w:rPr>
          <w:rFonts w:hint="eastAsia"/>
          <w:bCs/>
          <w:sz w:val="24"/>
        </w:rPr>
        <w:t>2.投标报价为采购人指定地点的现场交货价，包括：</w:t>
      </w:r>
    </w:p>
    <w:p>
      <w:pPr>
        <w:adjustRightInd w:val="0"/>
        <w:spacing w:line="360" w:lineRule="auto"/>
        <w:ind w:firstLine="480" w:firstLineChars="200"/>
        <w:textAlignment w:val="baseline"/>
        <w:rPr>
          <w:bCs/>
          <w:sz w:val="24"/>
        </w:rPr>
      </w:pPr>
      <w:r>
        <w:rPr>
          <w:rFonts w:hint="eastAsia"/>
          <w:bCs/>
          <w:sz w:val="24"/>
        </w:rPr>
        <w:t>（1）货物及标准附件，备品备件，专用工具的价格；</w:t>
      </w:r>
    </w:p>
    <w:p>
      <w:pPr>
        <w:adjustRightInd w:val="0"/>
        <w:spacing w:line="360" w:lineRule="auto"/>
        <w:ind w:firstLine="480" w:firstLineChars="200"/>
        <w:textAlignment w:val="baseline"/>
        <w:rPr>
          <w:bCs/>
          <w:sz w:val="24"/>
        </w:rPr>
      </w:pPr>
      <w:r>
        <w:rPr>
          <w:rFonts w:hint="eastAsia"/>
          <w:bCs/>
          <w:sz w:val="24"/>
        </w:rPr>
        <w:t>（2）运输，装卸，调试，售后服务等费用；</w:t>
      </w:r>
    </w:p>
    <w:p>
      <w:pPr>
        <w:adjustRightInd w:val="0"/>
        <w:spacing w:line="360" w:lineRule="auto"/>
        <w:ind w:firstLine="480" w:firstLineChars="200"/>
        <w:textAlignment w:val="baseline"/>
        <w:rPr>
          <w:bCs/>
          <w:sz w:val="24"/>
        </w:rPr>
      </w:pPr>
      <w:r>
        <w:rPr>
          <w:rFonts w:hint="eastAsia"/>
          <w:bCs/>
          <w:sz w:val="24"/>
        </w:rPr>
        <w:t>（3）必要的保险费用和各项税费；</w:t>
      </w:r>
    </w:p>
    <w:p>
      <w:pPr>
        <w:adjustRightInd w:val="0"/>
        <w:spacing w:line="360" w:lineRule="auto"/>
        <w:ind w:firstLine="480" w:firstLineChars="200"/>
        <w:textAlignment w:val="baseline"/>
        <w:rPr>
          <w:bCs/>
          <w:sz w:val="24"/>
        </w:rPr>
      </w:pPr>
      <w:r>
        <w:rPr>
          <w:rFonts w:hint="eastAsia"/>
          <w:bCs/>
          <w:sz w:val="24"/>
        </w:rPr>
        <w:t>（4）安装调试的费用；</w:t>
      </w:r>
    </w:p>
    <w:p>
      <w:pPr>
        <w:adjustRightInd w:val="0"/>
        <w:spacing w:line="360" w:lineRule="auto"/>
        <w:ind w:firstLine="480" w:firstLineChars="200"/>
        <w:textAlignment w:val="baseline"/>
        <w:rPr>
          <w:bCs/>
          <w:sz w:val="24"/>
        </w:rPr>
      </w:pPr>
      <w:r>
        <w:rPr>
          <w:rFonts w:hint="eastAsia"/>
          <w:bCs/>
          <w:sz w:val="24"/>
        </w:rPr>
        <w:t>（5）送货上门的费用；</w:t>
      </w:r>
    </w:p>
    <w:p>
      <w:pPr>
        <w:adjustRightInd w:val="0"/>
        <w:spacing w:line="360" w:lineRule="auto"/>
        <w:ind w:firstLine="480" w:firstLineChars="200"/>
        <w:textAlignment w:val="baseline"/>
        <w:rPr>
          <w:bCs/>
          <w:sz w:val="24"/>
        </w:rPr>
      </w:pPr>
      <w:r>
        <w:rPr>
          <w:rFonts w:hint="eastAsia"/>
          <w:bCs/>
          <w:sz w:val="24"/>
        </w:rPr>
        <w:t>（6）售后服务，质保期内维修、退换及其他所有成本费用的总和。</w:t>
      </w:r>
    </w:p>
    <w:p>
      <w:pPr>
        <w:adjustRightInd w:val="0"/>
        <w:spacing w:line="360" w:lineRule="auto"/>
        <w:ind w:firstLine="480" w:firstLineChars="200"/>
        <w:textAlignment w:val="baseline"/>
        <w:rPr>
          <w:bCs/>
          <w:sz w:val="24"/>
        </w:rPr>
      </w:pPr>
      <w:r>
        <w:rPr>
          <w:rFonts w:hint="eastAsia"/>
          <w:bCs/>
          <w:sz w:val="24"/>
        </w:rPr>
        <w:t>（二）交付时间、地点</w:t>
      </w:r>
    </w:p>
    <w:p>
      <w:pPr>
        <w:adjustRightInd w:val="0"/>
        <w:spacing w:line="360" w:lineRule="auto"/>
        <w:ind w:firstLine="480" w:firstLineChars="200"/>
        <w:textAlignment w:val="baseline"/>
        <w:rPr>
          <w:bCs/>
          <w:sz w:val="24"/>
        </w:rPr>
      </w:pPr>
      <w:r>
        <w:rPr>
          <w:rFonts w:hint="eastAsia"/>
          <w:bCs/>
          <w:sz w:val="24"/>
        </w:rPr>
        <w:t>★自中标通知书发出之日起7日内签订合同，签订合同7日内提供样品供采购人初次查验，初次查验合格且采购人通知入场后30日内供货完毕并完成安装调试。现场交货，地点由采购人指定。</w:t>
      </w:r>
    </w:p>
    <w:p>
      <w:pPr>
        <w:adjustRightInd w:val="0"/>
        <w:spacing w:line="360" w:lineRule="auto"/>
        <w:ind w:firstLine="480" w:firstLineChars="200"/>
        <w:textAlignment w:val="baseline"/>
        <w:rPr>
          <w:bCs/>
          <w:sz w:val="24"/>
        </w:rPr>
      </w:pPr>
      <w:r>
        <w:rPr>
          <w:rFonts w:hint="eastAsia"/>
          <w:bCs/>
          <w:sz w:val="24"/>
        </w:rPr>
        <w:t>（三）付款方式</w:t>
      </w:r>
    </w:p>
    <w:p>
      <w:pPr>
        <w:adjustRightInd w:val="0"/>
        <w:spacing w:line="360" w:lineRule="auto"/>
        <w:ind w:firstLine="480" w:firstLineChars="200"/>
        <w:textAlignment w:val="baseline"/>
        <w:rPr>
          <w:bCs/>
          <w:sz w:val="24"/>
        </w:rPr>
      </w:pPr>
      <w:r>
        <w:rPr>
          <w:rFonts w:hint="eastAsia"/>
          <w:bCs/>
          <w:sz w:val="24"/>
        </w:rPr>
        <w:t>合同一经签订，在经费到位的前提下，中标人开具相应金额发票后，采购人预付合同金额的30%，安装调试完毕并经采购人验收通过，中标人开具相应金额发票后，采购人支付剩余合同金额。乙方延期提交项目成果，每延期一天，按延期交付的合同总额0.5%的交付给甲方违约金。</w:t>
      </w:r>
    </w:p>
    <w:p>
      <w:pPr>
        <w:adjustRightInd w:val="0"/>
        <w:spacing w:line="360" w:lineRule="auto"/>
        <w:ind w:firstLine="480" w:firstLineChars="200"/>
        <w:textAlignment w:val="baseline"/>
        <w:rPr>
          <w:bCs/>
          <w:sz w:val="24"/>
        </w:rPr>
      </w:pPr>
      <w:r>
        <w:rPr>
          <w:rFonts w:hint="eastAsia"/>
          <w:bCs/>
          <w:sz w:val="24"/>
        </w:rPr>
        <w:t>（五）其他要求</w:t>
      </w:r>
    </w:p>
    <w:p>
      <w:pPr>
        <w:adjustRightInd w:val="0"/>
        <w:spacing w:line="360" w:lineRule="auto"/>
        <w:ind w:firstLine="480" w:firstLineChars="200"/>
        <w:textAlignment w:val="baseline"/>
        <w:rPr>
          <w:bCs/>
          <w:sz w:val="24"/>
        </w:rPr>
      </w:pPr>
      <w:r>
        <w:rPr>
          <w:rFonts w:hint="eastAsia"/>
          <w:bCs/>
          <w:sz w:val="24"/>
        </w:rPr>
        <w:t>1.本项目不专门面向中小企业采购，对小微企业，给予10%的扣除价格，用扣除后的价格参与评审。</w:t>
      </w:r>
    </w:p>
    <w:p>
      <w:pPr>
        <w:adjustRightInd w:val="0"/>
        <w:spacing w:line="360" w:lineRule="auto"/>
        <w:ind w:firstLine="480" w:firstLineChars="200"/>
        <w:textAlignment w:val="baseline"/>
        <w:rPr>
          <w:bCs/>
          <w:sz w:val="24"/>
        </w:rPr>
      </w:pPr>
      <w:r>
        <w:rPr>
          <w:rFonts w:hint="eastAsia"/>
          <w:bCs/>
          <w:sz w:val="24"/>
        </w:rPr>
        <w:t>2.本项目不接受联合体投标。</w:t>
      </w:r>
    </w:p>
    <w:p>
      <w:pPr>
        <w:adjustRightInd w:val="0"/>
        <w:spacing w:line="360" w:lineRule="auto"/>
        <w:ind w:firstLine="480" w:firstLineChars="200"/>
        <w:textAlignment w:val="baseline"/>
        <w:rPr>
          <w:bCs/>
          <w:sz w:val="24"/>
        </w:rPr>
      </w:pPr>
      <w:r>
        <w:rPr>
          <w:rFonts w:hint="eastAsia"/>
          <w:bCs/>
          <w:sz w:val="24"/>
        </w:rPr>
        <w:t>3.本项目不收取投标保证金。</w:t>
      </w:r>
    </w:p>
    <w:p>
      <w:pPr>
        <w:adjustRightInd w:val="0"/>
        <w:spacing w:line="360" w:lineRule="auto"/>
        <w:ind w:firstLine="480" w:firstLineChars="200"/>
        <w:textAlignment w:val="baseline"/>
        <w:rPr>
          <w:bCs/>
          <w:sz w:val="24"/>
        </w:rPr>
      </w:pPr>
      <w:r>
        <w:rPr>
          <w:rFonts w:hint="eastAsia"/>
          <w:bCs/>
          <w:sz w:val="24"/>
        </w:rPr>
        <w:t>4.本项目不接受分包。</w:t>
      </w:r>
    </w:p>
    <w:p>
      <w:pPr>
        <w:spacing w:line="360" w:lineRule="auto"/>
        <w:ind w:firstLine="480" w:firstLineChars="200"/>
        <w:rPr>
          <w:rFonts w:hint="eastAsia" w:ascii="等线" w:hAnsi="等线" w:eastAsia="等线"/>
          <w:sz w:val="24"/>
        </w:rPr>
        <w:sectPr>
          <w:pgSz w:w="11906" w:h="16838"/>
          <w:pgMar w:top="1440" w:right="1800" w:bottom="1440" w:left="1800" w:header="851" w:footer="992" w:gutter="0"/>
          <w:cols w:space="425" w:num="1"/>
          <w:docGrid w:type="lines" w:linePitch="312" w:charSpace="0"/>
        </w:sectPr>
      </w:pPr>
    </w:p>
    <w:p>
      <w:pPr>
        <w:adjustRightInd w:val="0"/>
        <w:spacing w:line="360" w:lineRule="auto"/>
        <w:textAlignment w:val="baseline"/>
        <w:rPr>
          <w:rFonts w:hint="eastAsia" w:ascii="宋体" w:hAnsi="宋体" w:cs="宋体"/>
          <w:sz w:val="24"/>
        </w:rPr>
      </w:pPr>
      <w:r>
        <w:rPr>
          <w:rFonts w:hint="eastAsia" w:ascii="宋体" w:hAnsi="宋体" w:cs="宋体"/>
          <w:sz w:val="24"/>
        </w:rPr>
        <w:t>（五）</w:t>
      </w:r>
      <w:r>
        <w:rPr>
          <w:sz w:val="24"/>
        </w:rPr>
        <w:t>货物</w:t>
      </w:r>
      <w:r>
        <w:rPr>
          <w:rFonts w:hint="eastAsia"/>
          <w:sz w:val="24"/>
        </w:rPr>
        <w:t>参数</w:t>
      </w:r>
    </w:p>
    <w:tbl>
      <w:tblPr>
        <w:tblStyle w:val="25"/>
        <w:tblpPr w:leftFromText="180" w:rightFromText="180" w:vertAnchor="text" w:horzAnchor="page" w:tblpX="822" w:tblpY="281"/>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93"/>
        <w:gridCol w:w="850"/>
        <w:gridCol w:w="709"/>
        <w:gridCol w:w="836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88" w:type="dxa"/>
            <w:shd w:val="clear" w:color="auto" w:fill="auto"/>
            <w:vAlign w:val="center"/>
          </w:tcPr>
          <w:p>
            <w:pPr>
              <w:spacing w:line="360" w:lineRule="auto"/>
              <w:ind w:left="-106" w:leftChars="-33" w:right="-96" w:rightChars="-30"/>
              <w:jc w:val="center"/>
              <w:rPr>
                <w:rFonts w:hint="eastAsia" w:ascii="宋体" w:hAnsi="宋体" w:cs="宋体"/>
                <w:b/>
                <w:sz w:val="24"/>
              </w:rPr>
            </w:pPr>
            <w:r>
              <w:rPr>
                <w:rFonts w:hint="eastAsia" w:ascii="宋体" w:hAnsi="宋体" w:cs="宋体"/>
                <w:b/>
                <w:sz w:val="24"/>
              </w:rPr>
              <w:t>名称</w:t>
            </w:r>
          </w:p>
        </w:tc>
        <w:tc>
          <w:tcPr>
            <w:tcW w:w="2693" w:type="dxa"/>
            <w:shd w:val="clear" w:color="auto" w:fill="auto"/>
            <w:noWrap/>
            <w:vAlign w:val="center"/>
          </w:tcPr>
          <w:p>
            <w:pPr>
              <w:spacing w:line="360" w:lineRule="auto"/>
              <w:ind w:left="-106" w:leftChars="-33" w:right="-96" w:rightChars="-30"/>
              <w:jc w:val="center"/>
              <w:rPr>
                <w:rFonts w:hint="eastAsia" w:ascii="宋体" w:hAnsi="宋体" w:cs="宋体"/>
                <w:b/>
                <w:sz w:val="24"/>
              </w:rPr>
            </w:pPr>
            <w:r>
              <w:rPr>
                <w:rFonts w:hint="eastAsia" w:ascii="宋体" w:hAnsi="宋体" w:cs="宋体"/>
                <w:b/>
                <w:sz w:val="24"/>
              </w:rPr>
              <w:t>示意图片</w:t>
            </w:r>
          </w:p>
        </w:tc>
        <w:tc>
          <w:tcPr>
            <w:tcW w:w="850" w:type="dxa"/>
            <w:shd w:val="clear" w:color="auto" w:fill="auto"/>
            <w:noWrap/>
            <w:vAlign w:val="center"/>
          </w:tcPr>
          <w:p>
            <w:pPr>
              <w:spacing w:line="360" w:lineRule="auto"/>
              <w:ind w:left="-106" w:leftChars="-33" w:right="-96" w:rightChars="-30"/>
              <w:jc w:val="center"/>
              <w:rPr>
                <w:rFonts w:hint="eastAsia" w:ascii="宋体" w:hAnsi="宋体" w:cs="宋体"/>
                <w:b/>
                <w:sz w:val="24"/>
              </w:rPr>
            </w:pPr>
            <w:r>
              <w:rPr>
                <w:rFonts w:hint="eastAsia" w:ascii="宋体" w:hAnsi="宋体" w:cs="宋体"/>
                <w:b/>
                <w:sz w:val="24"/>
              </w:rPr>
              <w:t>数量</w:t>
            </w:r>
          </w:p>
        </w:tc>
        <w:tc>
          <w:tcPr>
            <w:tcW w:w="709" w:type="dxa"/>
            <w:shd w:val="clear" w:color="auto" w:fill="auto"/>
            <w:noWrap/>
            <w:vAlign w:val="center"/>
          </w:tcPr>
          <w:p>
            <w:pPr>
              <w:spacing w:line="240" w:lineRule="exact"/>
              <w:ind w:left="-106" w:leftChars="-33" w:right="-96" w:rightChars="-30"/>
              <w:jc w:val="center"/>
              <w:rPr>
                <w:rFonts w:hint="eastAsia" w:ascii="宋体" w:hAnsi="宋体" w:cs="宋体"/>
                <w:b/>
                <w:sz w:val="21"/>
                <w:szCs w:val="21"/>
              </w:rPr>
            </w:pPr>
            <w:r>
              <w:rPr>
                <w:rFonts w:hint="eastAsia" w:ascii="宋体" w:hAnsi="宋体" w:cs="宋体"/>
                <w:b/>
                <w:sz w:val="21"/>
                <w:szCs w:val="21"/>
              </w:rPr>
              <w:t>单位</w:t>
            </w:r>
          </w:p>
        </w:tc>
        <w:tc>
          <w:tcPr>
            <w:tcW w:w="8363" w:type="dxa"/>
            <w:shd w:val="clear" w:color="auto" w:fill="auto"/>
            <w:vAlign w:val="center"/>
          </w:tcPr>
          <w:p>
            <w:pPr>
              <w:spacing w:line="240" w:lineRule="exact"/>
              <w:ind w:left="-106" w:leftChars="-33" w:right="-96" w:rightChars="-30"/>
              <w:jc w:val="center"/>
              <w:rPr>
                <w:rFonts w:hint="eastAsia" w:ascii="宋体" w:hAnsi="宋体" w:cs="宋体"/>
                <w:b/>
                <w:sz w:val="21"/>
                <w:szCs w:val="21"/>
              </w:rPr>
            </w:pPr>
            <w:r>
              <w:rPr>
                <w:rFonts w:hint="eastAsia" w:ascii="宋体" w:hAnsi="宋体" w:cs="宋体"/>
                <w:b/>
                <w:sz w:val="21"/>
                <w:szCs w:val="21"/>
              </w:rPr>
              <w:t>规格参数</w:t>
            </w:r>
          </w:p>
        </w:tc>
        <w:tc>
          <w:tcPr>
            <w:tcW w:w="993" w:type="dxa"/>
            <w:shd w:val="clear" w:color="auto" w:fill="auto"/>
            <w:vAlign w:val="center"/>
          </w:tcPr>
          <w:p>
            <w:pPr>
              <w:spacing w:line="240" w:lineRule="exact"/>
              <w:ind w:left="-106" w:leftChars="-33" w:right="-96" w:rightChars="-30"/>
              <w:jc w:val="center"/>
              <w:rPr>
                <w:rFonts w:hint="eastAsia"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88" w:type="dxa"/>
            <w:shd w:val="clear" w:color="auto" w:fill="auto"/>
            <w:vAlign w:val="center"/>
          </w:tcPr>
          <w:p>
            <w:pPr>
              <w:ind w:left="-106" w:leftChars="-33" w:right="-96" w:rightChars="-30"/>
              <w:jc w:val="center"/>
              <w:rPr>
                <w:rFonts w:hint="eastAsia" w:ascii="宋体" w:hAnsi="宋体" w:cs="宋体"/>
                <w:bCs/>
                <w:sz w:val="24"/>
              </w:rPr>
            </w:pPr>
            <w:r>
              <w:rPr>
                <w:rFonts w:hint="eastAsia" w:ascii="宋体" w:hAnsi="宋体" w:cs="宋体"/>
                <w:bCs/>
                <w:sz w:val="24"/>
              </w:rPr>
              <w:t>台式电脑</w:t>
            </w:r>
          </w:p>
        </w:tc>
        <w:tc>
          <w:tcPr>
            <w:tcW w:w="2693"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drawing>
                <wp:inline distT="0" distB="0" distL="0" distR="0">
                  <wp:extent cx="1552575" cy="1171575"/>
                  <wp:effectExtent l="0" t="0" r="9525" b="9525"/>
                  <wp:docPr id="726034869" name="图片 40" descr="电子设备放在桌子上的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34869" name="图片 40" descr="电子设备放在桌子上的电脑&#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52575" cy="1171575"/>
                          </a:xfrm>
                          <a:prstGeom prst="rect">
                            <a:avLst/>
                          </a:prstGeom>
                          <a:noFill/>
                          <a:ln>
                            <a:noFill/>
                          </a:ln>
                        </pic:spPr>
                      </pic:pic>
                    </a:graphicData>
                  </a:graphic>
                </wp:inline>
              </w:drawing>
            </w:r>
          </w:p>
        </w:tc>
        <w:tc>
          <w:tcPr>
            <w:tcW w:w="850"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t>50</w:t>
            </w:r>
          </w:p>
        </w:tc>
        <w:tc>
          <w:tcPr>
            <w:tcW w:w="709"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台</w:t>
            </w:r>
          </w:p>
        </w:tc>
        <w:tc>
          <w:tcPr>
            <w:tcW w:w="8363" w:type="dxa"/>
            <w:shd w:val="clear" w:color="auto" w:fill="auto"/>
            <w:vAlign w:val="center"/>
          </w:tcPr>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#1.CPU性能不低于I5十三代（i5-13400）处理器主频2.5GHz,缓存20M,10核</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#2.主板:Intel B760 系列及以上芯片组</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#3.内存:≥8G*2 DDR4 2666MHz</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4.硬盘:硬盘不低于1T固态硬盘</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#5.显卡:核心显卡或独立显卡（显存≥2G）</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6.声卡:集成声卡</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7.网卡:集成千兆以太网卡和WiFi 6+蓝牙5.2组合无线网卡</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8.刻录光驱 DVD-RW</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#9.显示器≥23.8寸LED显示器，分辨率≥1920x 1080，高清视频接口，低蓝光</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10.键盘、鼠标 :防水抗菌键盘（不低于101键）、抗菌鼠标 、鼠标垫</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11.机箱内置扬声器</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12.接口 ：≥1 个耳机接口； ≥ 6 个USB 3.2 Gen1接口 ≥1 个音频线路输入端口； ≥1 个音频线路输出端口；≥ 1 个 电源接口； ≥1 个 RJ-45 端口； ≥1 个 VGA 端口； ≥4 个 USB 2.0 接口</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13.功能：（1）硬盘保护功能支持数据快速保存和快速恢复。（2）网络同传功能支持自动差异化同传、IP/ID分配、排序。（3）网络控制管理功能支持远程修改计算机名称、IP地址、数据保护模块参数；支持远程重启、关机及唤醒；支持远程监控并查看客户端软硬件资产；支持对客户端网络访问的控制</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14.操作系统：预装Windows 11正版操作系统及办公套件</w:t>
            </w:r>
          </w:p>
        </w:tc>
        <w:tc>
          <w:tcPr>
            <w:tcW w:w="993"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图片仅供参考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88" w:type="dxa"/>
            <w:shd w:val="clear" w:color="auto" w:fill="auto"/>
            <w:vAlign w:val="center"/>
          </w:tcPr>
          <w:p>
            <w:pPr>
              <w:ind w:left="-106" w:leftChars="-33" w:right="-96" w:rightChars="-30"/>
              <w:jc w:val="center"/>
              <w:rPr>
                <w:rFonts w:hint="eastAsia" w:ascii="宋体" w:hAnsi="宋体" w:cs="宋体"/>
                <w:bCs/>
                <w:sz w:val="24"/>
              </w:rPr>
            </w:pPr>
            <w:r>
              <w:rPr>
                <w:rFonts w:hint="eastAsia" w:ascii="宋体" w:hAnsi="宋体" w:cs="宋体"/>
                <w:bCs/>
                <w:sz w:val="24"/>
              </w:rPr>
              <w:t>多功能彩色打印机</w:t>
            </w:r>
          </w:p>
        </w:tc>
        <w:tc>
          <w:tcPr>
            <w:tcW w:w="2693"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drawing>
                <wp:inline distT="0" distB="0" distL="0" distR="0">
                  <wp:extent cx="1007745" cy="1356360"/>
                  <wp:effectExtent l="0" t="0" r="1905" b="0"/>
                  <wp:docPr id="13080364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36439" name="图片 3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008224" cy="1356519"/>
                          </a:xfrm>
                          <a:prstGeom prst="rect">
                            <a:avLst/>
                          </a:prstGeom>
                          <a:noFill/>
                          <a:ln>
                            <a:noFill/>
                          </a:ln>
                        </pic:spPr>
                      </pic:pic>
                    </a:graphicData>
                  </a:graphic>
                </wp:inline>
              </w:drawing>
            </w:r>
          </w:p>
        </w:tc>
        <w:tc>
          <w:tcPr>
            <w:tcW w:w="850"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t>4</w:t>
            </w:r>
          </w:p>
        </w:tc>
        <w:tc>
          <w:tcPr>
            <w:tcW w:w="709"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台</w:t>
            </w:r>
          </w:p>
        </w:tc>
        <w:tc>
          <w:tcPr>
            <w:tcW w:w="8363" w:type="dxa"/>
            <w:shd w:val="clear" w:color="auto" w:fill="auto"/>
            <w:vAlign w:val="center"/>
          </w:tcPr>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1.最大处理幅面:A3</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#2.打印速度：≥20ppm</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#3.打印分辨率： ≥600 x 600 dpi</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#4.复印速度： ≥20ppm</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5.内存：≥1 GB</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6.纸张输入容量：≥250页</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7.纸张输出容量：≥100页出纸盒</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8.具备自动双面打印功能</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 xml:space="preserve">9.支持网络打印 </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 xml:space="preserve">10.具备USB，以太网，WiFi端口 </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11.支持彩色打印</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 xml:space="preserve">12.基础功能：扫描、复印、打印、传真，首页打印时间在12秒以内 </w:t>
            </w:r>
          </w:p>
        </w:tc>
        <w:tc>
          <w:tcPr>
            <w:tcW w:w="993"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 xml:space="preserve">图片仅供参考；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88" w:type="dxa"/>
            <w:shd w:val="clear" w:color="auto" w:fill="auto"/>
            <w:vAlign w:val="center"/>
          </w:tcPr>
          <w:p>
            <w:pPr>
              <w:ind w:left="-106" w:leftChars="-33" w:right="-96" w:rightChars="-30"/>
              <w:jc w:val="center"/>
              <w:rPr>
                <w:rFonts w:hint="eastAsia" w:ascii="宋体" w:hAnsi="宋体" w:cs="宋体"/>
                <w:bCs/>
                <w:sz w:val="24"/>
              </w:rPr>
            </w:pPr>
            <w:r>
              <w:rPr>
                <w:rFonts w:hint="eastAsia" w:ascii="宋体" w:hAnsi="宋体" w:cs="宋体"/>
                <w:bCs/>
                <w:sz w:val="24"/>
              </w:rPr>
              <w:t>孵化器共享办公区接线板</w:t>
            </w:r>
          </w:p>
        </w:tc>
        <w:tc>
          <w:tcPr>
            <w:tcW w:w="2693"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drawing>
                <wp:inline distT="0" distB="0" distL="0" distR="0">
                  <wp:extent cx="561340" cy="1034415"/>
                  <wp:effectExtent l="0" t="0" r="0" b="0"/>
                  <wp:docPr id="1596682073" name="图片 38"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82073" name="图片 38" descr="文本&#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l="31751"/>
                          <a:stretch>
                            <a:fillRect/>
                          </a:stretch>
                        </pic:blipFill>
                        <pic:spPr>
                          <a:xfrm>
                            <a:off x="0" y="0"/>
                            <a:ext cx="575708" cy="1060452"/>
                          </a:xfrm>
                          <a:prstGeom prst="rect">
                            <a:avLst/>
                          </a:prstGeom>
                          <a:noFill/>
                          <a:ln>
                            <a:noFill/>
                          </a:ln>
                        </pic:spPr>
                      </pic:pic>
                    </a:graphicData>
                  </a:graphic>
                </wp:inline>
              </w:drawing>
            </w:r>
          </w:p>
        </w:tc>
        <w:tc>
          <w:tcPr>
            <w:tcW w:w="850"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t>400</w:t>
            </w:r>
          </w:p>
        </w:tc>
        <w:tc>
          <w:tcPr>
            <w:tcW w:w="709"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组</w:t>
            </w:r>
          </w:p>
        </w:tc>
        <w:tc>
          <w:tcPr>
            <w:tcW w:w="8363" w:type="dxa"/>
            <w:shd w:val="clear" w:color="auto" w:fill="auto"/>
            <w:vAlign w:val="center"/>
          </w:tcPr>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1.8插位 ,阻燃耐高温,独立开关，高精黄铜导件，符合国家安全标准</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2.带总控开关、带有儿童保护门、有过载保护</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3.最大功率2500W及以上</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4.线长3米、5米、10米按需搭配</w:t>
            </w:r>
          </w:p>
        </w:tc>
        <w:tc>
          <w:tcPr>
            <w:tcW w:w="993"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图片仅供参考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88" w:type="dxa"/>
            <w:shd w:val="clear" w:color="auto" w:fill="auto"/>
            <w:vAlign w:val="center"/>
          </w:tcPr>
          <w:p>
            <w:pPr>
              <w:ind w:left="-106" w:leftChars="-33" w:right="-96" w:rightChars="-30"/>
              <w:jc w:val="center"/>
              <w:rPr>
                <w:rFonts w:hint="eastAsia" w:ascii="宋体" w:hAnsi="宋体" w:cs="宋体"/>
                <w:bCs/>
                <w:sz w:val="24"/>
              </w:rPr>
            </w:pPr>
            <w:r>
              <w:rPr>
                <w:rFonts w:hint="eastAsia" w:ascii="宋体" w:hAnsi="宋体" w:cs="宋体"/>
                <w:bCs/>
                <w:sz w:val="24"/>
              </w:rPr>
              <w:t>音响及多媒体设备</w:t>
            </w:r>
          </w:p>
        </w:tc>
        <w:tc>
          <w:tcPr>
            <w:tcW w:w="2693"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drawing>
                <wp:inline distT="0" distB="0" distL="0" distR="0">
                  <wp:extent cx="1036320" cy="764540"/>
                  <wp:effectExtent l="0" t="0" r="0" b="0"/>
                  <wp:docPr id="1520978591" name="图片 37" descr="音响设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78591" name="图片 37" descr="音响设备&#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7173" cy="772609"/>
                          </a:xfrm>
                          <a:prstGeom prst="rect">
                            <a:avLst/>
                          </a:prstGeom>
                          <a:noFill/>
                          <a:ln>
                            <a:noFill/>
                          </a:ln>
                        </pic:spPr>
                      </pic:pic>
                    </a:graphicData>
                  </a:graphic>
                </wp:inline>
              </w:drawing>
            </w:r>
          </w:p>
        </w:tc>
        <w:tc>
          <w:tcPr>
            <w:tcW w:w="850"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t>5</w:t>
            </w:r>
          </w:p>
        </w:tc>
        <w:tc>
          <w:tcPr>
            <w:tcW w:w="709"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套</w:t>
            </w:r>
          </w:p>
        </w:tc>
        <w:tc>
          <w:tcPr>
            <w:tcW w:w="8363" w:type="dxa"/>
            <w:shd w:val="clear" w:color="auto" w:fill="auto"/>
            <w:vAlign w:val="center"/>
          </w:tcPr>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共享会议室音响及会议设备。</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调音台+功放+音频处理器+反馈抑制器+音箱+话筒+全向麦+多媒体会议设备（含会议平板一体机，参数同下）等必要设备。</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5个会议室的套内面积（平米）：90.95；90.95；73.40；74.90；76.85。</w:t>
            </w:r>
          </w:p>
        </w:tc>
        <w:tc>
          <w:tcPr>
            <w:tcW w:w="993"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图片仅供参考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88" w:type="dxa"/>
            <w:shd w:val="clear" w:color="auto" w:fill="auto"/>
            <w:vAlign w:val="center"/>
          </w:tcPr>
          <w:p>
            <w:pPr>
              <w:ind w:left="-106" w:leftChars="-33" w:right="-96" w:rightChars="-30"/>
              <w:jc w:val="center"/>
              <w:rPr>
                <w:rFonts w:hint="eastAsia" w:ascii="宋体" w:hAnsi="宋体" w:cs="宋体"/>
                <w:bCs/>
                <w:sz w:val="24"/>
              </w:rPr>
            </w:pPr>
            <w:r>
              <w:rPr>
                <w:rFonts w:hint="eastAsia" w:ascii="宋体" w:hAnsi="宋体" w:cs="宋体"/>
                <w:bCs/>
                <w:sz w:val="24"/>
              </w:rPr>
              <w:t>会议平板一体机</w:t>
            </w:r>
          </w:p>
        </w:tc>
        <w:tc>
          <w:tcPr>
            <w:tcW w:w="2693"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drawing>
                <wp:inline distT="0" distB="0" distL="0" distR="0">
                  <wp:extent cx="925195" cy="1111250"/>
                  <wp:effectExtent l="0" t="0" r="8255" b="0"/>
                  <wp:docPr id="373023889" name="图片 36"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23889" name="图片 36" descr="图片包含 图形用户界面&#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669" cy="1128749"/>
                          </a:xfrm>
                          <a:prstGeom prst="rect">
                            <a:avLst/>
                          </a:prstGeom>
                          <a:noFill/>
                          <a:ln>
                            <a:noFill/>
                          </a:ln>
                        </pic:spPr>
                      </pic:pic>
                    </a:graphicData>
                  </a:graphic>
                </wp:inline>
              </w:drawing>
            </w:r>
          </w:p>
        </w:tc>
        <w:tc>
          <w:tcPr>
            <w:tcW w:w="850" w:type="dxa"/>
            <w:shd w:val="clear" w:color="auto" w:fill="auto"/>
            <w:vAlign w:val="center"/>
          </w:tcPr>
          <w:p>
            <w:pPr>
              <w:spacing w:line="360" w:lineRule="auto"/>
              <w:ind w:left="-106" w:leftChars="-33" w:right="-96" w:rightChars="-30"/>
              <w:jc w:val="center"/>
              <w:rPr>
                <w:rFonts w:hint="eastAsia" w:ascii="宋体" w:hAnsi="宋体" w:cs="宋体"/>
                <w:bCs/>
                <w:sz w:val="24"/>
              </w:rPr>
            </w:pPr>
            <w:r>
              <w:rPr>
                <w:rFonts w:hint="eastAsia" w:ascii="宋体" w:hAnsi="宋体" w:cs="宋体"/>
                <w:bCs/>
                <w:sz w:val="24"/>
              </w:rPr>
              <w:t>7</w:t>
            </w:r>
          </w:p>
        </w:tc>
        <w:tc>
          <w:tcPr>
            <w:tcW w:w="709"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台</w:t>
            </w:r>
          </w:p>
        </w:tc>
        <w:tc>
          <w:tcPr>
            <w:tcW w:w="8363" w:type="dxa"/>
            <w:shd w:val="clear" w:color="auto" w:fill="auto"/>
            <w:vAlign w:val="center"/>
          </w:tcPr>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1.智慧屏，电子白板，会议平板;</w:t>
            </w:r>
          </w:p>
          <w:p>
            <w:pPr>
              <w:spacing w:line="240" w:lineRule="exact"/>
              <w:ind w:left="-106" w:leftChars="-33" w:right="-96" w:rightChars="-30"/>
              <w:rPr>
                <w:rFonts w:hint="eastAsia" w:ascii="宋体" w:hAnsi="宋体" w:cs="宋体"/>
                <w:bCs/>
                <w:sz w:val="21"/>
                <w:szCs w:val="21"/>
              </w:rPr>
            </w:pPr>
            <w:r>
              <w:rPr>
                <w:rFonts w:hint="eastAsia" w:ascii="宋体" w:hAnsi="宋体" w:eastAsia="宋体" w:cs="宋体"/>
                <w:color w:val="000000"/>
                <w:kern w:val="0"/>
                <w:sz w:val="22"/>
                <w:szCs w:val="22"/>
                <w:lang w:bidi="ar"/>
              </w:rPr>
              <w:t>#</w:t>
            </w:r>
            <w:r>
              <w:rPr>
                <w:rFonts w:hint="eastAsia" w:ascii="宋体" w:hAnsi="宋体" w:cs="宋体"/>
                <w:bCs/>
                <w:sz w:val="21"/>
                <w:szCs w:val="21"/>
              </w:rPr>
              <w:t>2.屏幕尺寸：70英寸以上；分辨率：4K ，屏幕比例16:9；</w:t>
            </w:r>
          </w:p>
          <w:p>
            <w:pPr>
              <w:spacing w:line="240" w:lineRule="exact"/>
              <w:ind w:left="-106" w:leftChars="-33" w:right="-96" w:rightChars="-30"/>
              <w:rPr>
                <w:rFonts w:hint="eastAsia" w:ascii="宋体" w:hAnsi="宋体" w:cs="宋体"/>
                <w:bCs/>
                <w:sz w:val="21"/>
                <w:szCs w:val="21"/>
              </w:rPr>
            </w:pPr>
            <w:r>
              <w:rPr>
                <w:rFonts w:hint="eastAsia" w:ascii="宋体" w:hAnsi="宋体" w:eastAsia="宋体" w:cs="宋体"/>
                <w:color w:val="000000"/>
                <w:kern w:val="0"/>
                <w:sz w:val="22"/>
                <w:szCs w:val="22"/>
                <w:lang w:bidi="ar"/>
              </w:rPr>
              <w:t>#</w:t>
            </w:r>
            <w:r>
              <w:rPr>
                <w:rFonts w:hint="eastAsia" w:ascii="宋体" w:hAnsi="宋体" w:cs="宋体"/>
                <w:bCs/>
                <w:sz w:val="21"/>
                <w:szCs w:val="21"/>
              </w:rPr>
              <w:t>3.配置摄像头一个，摄像头像素≥4K；拾音距离10米；麦克风数量8阵列；内置蓝牙，内置扬声器，防爆屏，主动降噪，内置WiFi，内置摄像头，内置麦克风。</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4.系统：安卓+Windows双系统</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5.触摸屏类型红外触摸</w:t>
            </w:r>
          </w:p>
          <w:p>
            <w:pPr>
              <w:spacing w:line="240" w:lineRule="exact"/>
              <w:ind w:left="-106" w:leftChars="-33" w:right="-96" w:rightChars="-30"/>
              <w:rPr>
                <w:rFonts w:hint="eastAsia" w:ascii="宋体" w:hAnsi="宋体" w:cs="宋体"/>
                <w:bCs/>
                <w:sz w:val="21"/>
                <w:szCs w:val="21"/>
              </w:rPr>
            </w:pPr>
            <w:r>
              <w:rPr>
                <w:rFonts w:hint="eastAsia" w:ascii="宋体" w:hAnsi="宋体" w:eastAsia="宋体" w:cs="宋体"/>
                <w:color w:val="000000"/>
                <w:kern w:val="0"/>
                <w:sz w:val="22"/>
                <w:szCs w:val="22"/>
                <w:lang w:bidi="ar"/>
              </w:rPr>
              <w:t>#</w:t>
            </w:r>
            <w:r>
              <w:rPr>
                <w:rFonts w:hint="eastAsia" w:ascii="宋体" w:hAnsi="宋体" w:cs="宋体"/>
                <w:bCs/>
                <w:sz w:val="21"/>
                <w:szCs w:val="21"/>
              </w:rPr>
              <w:t>6.运行内存≥8GB ，储存内存≥256GB SSD</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7.能效等级：一级能效</w:t>
            </w:r>
          </w:p>
          <w:p>
            <w:pPr>
              <w:spacing w:line="240" w:lineRule="exact"/>
              <w:ind w:left="-106" w:leftChars="-33" w:right="-96" w:rightChars="-30"/>
              <w:rPr>
                <w:rFonts w:hint="eastAsia" w:ascii="宋体" w:hAnsi="宋体" w:cs="宋体"/>
                <w:bCs/>
                <w:sz w:val="21"/>
                <w:szCs w:val="21"/>
              </w:rPr>
            </w:pPr>
            <w:r>
              <w:rPr>
                <w:rFonts w:hint="eastAsia" w:ascii="宋体" w:hAnsi="宋体" w:cs="宋体"/>
                <w:bCs/>
                <w:sz w:val="21"/>
                <w:szCs w:val="21"/>
              </w:rPr>
              <w:t xml:space="preserve">8.配套支架、电源线 </w:t>
            </w:r>
          </w:p>
        </w:tc>
        <w:tc>
          <w:tcPr>
            <w:tcW w:w="993" w:type="dxa"/>
            <w:shd w:val="clear" w:color="auto" w:fill="auto"/>
            <w:vAlign w:val="center"/>
          </w:tcPr>
          <w:p>
            <w:pPr>
              <w:spacing w:line="240" w:lineRule="exact"/>
              <w:ind w:left="-106" w:leftChars="-33" w:right="-96" w:rightChars="-30"/>
              <w:jc w:val="center"/>
              <w:rPr>
                <w:rFonts w:hint="eastAsia" w:ascii="宋体" w:hAnsi="宋体" w:cs="宋体"/>
                <w:bCs/>
                <w:sz w:val="21"/>
                <w:szCs w:val="21"/>
              </w:rPr>
            </w:pPr>
            <w:r>
              <w:rPr>
                <w:rFonts w:hint="eastAsia" w:ascii="宋体" w:hAnsi="宋体" w:cs="宋体"/>
                <w:bCs/>
                <w:sz w:val="21"/>
                <w:szCs w:val="21"/>
              </w:rPr>
              <w:t>图片仅供参考</w:t>
            </w:r>
          </w:p>
        </w:tc>
      </w:tr>
    </w:tbl>
    <w:p>
      <w:pPr>
        <w:spacing w:line="360" w:lineRule="auto"/>
        <w:rPr>
          <w:sz w:val="24"/>
        </w:rPr>
        <w:sectPr>
          <w:pgSz w:w="16838" w:h="11906" w:orient="landscape"/>
          <w:pgMar w:top="1800" w:right="1440" w:bottom="1800" w:left="1440" w:header="851" w:footer="992" w:gutter="0"/>
          <w:cols w:space="425" w:num="1"/>
          <w:docGrid w:type="lines" w:linePitch="435" w:charSpace="0"/>
        </w:sectPr>
      </w:pPr>
    </w:p>
    <w:p>
      <w:pPr>
        <w:pStyle w:val="14"/>
        <w:numPr>
          <w:ilvl w:val="0"/>
          <w:numId w:val="2"/>
        </w:numPr>
        <w:spacing w:line="360" w:lineRule="auto"/>
        <w:rPr>
          <w:rFonts w:hint="eastAsia" w:ascii="黑体" w:hAnsi="黑体" w:eastAsia="黑体" w:cs="宋体"/>
          <w:bCs/>
          <w:sz w:val="24"/>
        </w:rPr>
      </w:pPr>
      <w:r>
        <w:rPr>
          <w:rFonts w:ascii="黑体" w:hAnsi="黑体" w:eastAsia="黑体" w:cs="宋体"/>
          <w:bCs/>
          <w:sz w:val="24"/>
        </w:rPr>
        <w:t>采购标的的技术要求</w:t>
      </w:r>
    </w:p>
    <w:p>
      <w:pPr>
        <w:pStyle w:val="15"/>
        <w:spacing w:line="360" w:lineRule="auto"/>
        <w:ind w:left="0" w:leftChars="0" w:firstLine="480" w:firstLineChars="200"/>
        <w:rPr>
          <w:rFonts w:hint="eastAsia" w:ascii="宋体" w:hAnsi="宋体" w:cs="宋体"/>
          <w:bCs/>
          <w:sz w:val="24"/>
        </w:rPr>
      </w:pPr>
      <w:r>
        <w:rPr>
          <w:rFonts w:hint="eastAsia" w:ascii="宋体" w:hAnsi="宋体" w:cs="宋体"/>
          <w:bCs/>
          <w:sz w:val="24"/>
        </w:rPr>
        <w:t>（一）采购标的需执行的国家相关标准、行业标准、地方标准或者其他标准、规范</w:t>
      </w:r>
    </w:p>
    <w:tbl>
      <w:tblPr>
        <w:tblStyle w:val="27"/>
        <w:tblpPr w:leftFromText="180" w:rightFromText="180" w:vertAnchor="text" w:horzAnchor="margin" w:tblpY="4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528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Align w:val="center"/>
          </w:tcPr>
          <w:p>
            <w:pPr>
              <w:spacing w:line="360" w:lineRule="auto"/>
              <w:ind w:left="-170" w:leftChars="-53" w:right="-163" w:rightChars="-51"/>
              <w:jc w:val="center"/>
              <w:rPr>
                <w:rFonts w:hint="eastAsia" w:ascii="宋体" w:hAnsi="宋体" w:cs="宋体"/>
                <w:b/>
                <w:kern w:val="0"/>
                <w:sz w:val="24"/>
              </w:rPr>
            </w:pPr>
            <w:r>
              <w:rPr>
                <w:rFonts w:hint="eastAsia" w:ascii="宋体" w:hAnsi="宋体" w:cs="宋体"/>
                <w:b/>
                <w:kern w:val="0"/>
                <w:sz w:val="24"/>
              </w:rPr>
              <w:t>序号</w:t>
            </w:r>
          </w:p>
        </w:tc>
        <w:tc>
          <w:tcPr>
            <w:tcW w:w="3101" w:type="pct"/>
            <w:vAlign w:val="center"/>
          </w:tcPr>
          <w:p>
            <w:pPr>
              <w:spacing w:line="360" w:lineRule="auto"/>
              <w:ind w:left="-106" w:leftChars="-33" w:right="-96" w:rightChars="-30"/>
              <w:jc w:val="center"/>
              <w:rPr>
                <w:rFonts w:hint="eastAsia" w:ascii="宋体" w:hAnsi="宋体" w:cs="宋体"/>
                <w:b/>
                <w:kern w:val="0"/>
                <w:sz w:val="24"/>
              </w:rPr>
            </w:pPr>
            <w:r>
              <w:rPr>
                <w:rFonts w:hint="eastAsia" w:ascii="宋体" w:hAnsi="宋体" w:cs="宋体"/>
                <w:b/>
                <w:kern w:val="0"/>
                <w:sz w:val="24"/>
              </w:rPr>
              <w:t>名称</w:t>
            </w:r>
          </w:p>
        </w:tc>
        <w:tc>
          <w:tcPr>
            <w:tcW w:w="1500" w:type="pct"/>
            <w:vAlign w:val="center"/>
          </w:tcPr>
          <w:p>
            <w:pPr>
              <w:spacing w:line="360" w:lineRule="auto"/>
              <w:ind w:left="-106" w:leftChars="-33" w:right="-96" w:rightChars="-30"/>
              <w:jc w:val="center"/>
              <w:rPr>
                <w:rFonts w:hint="eastAsia" w:ascii="宋体" w:hAnsi="宋体" w:cs="宋体"/>
                <w:b/>
                <w:kern w:val="0"/>
                <w:sz w:val="24"/>
              </w:rPr>
            </w:pPr>
            <w:r>
              <w:rPr>
                <w:rFonts w:hint="eastAsia" w:ascii="宋体" w:hAnsi="宋体" w:cs="宋体"/>
                <w:b/>
                <w:kern w:val="0"/>
                <w:sz w:val="24"/>
              </w:rPr>
              <w:t>标号或文号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1</w:t>
            </w:r>
          </w:p>
        </w:tc>
        <w:tc>
          <w:tcPr>
            <w:tcW w:w="3101" w:type="pct"/>
            <w:vAlign w:val="center"/>
          </w:tcPr>
          <w:p>
            <w:pPr>
              <w:widowControl/>
              <w:jc w:val="center"/>
              <w:textAlignment w:val="center"/>
              <w:rPr>
                <w:rFonts w:hint="eastAsia" w:ascii="宋体" w:hAnsi="宋体" w:cs="宋体"/>
                <w:kern w:val="0"/>
                <w:sz w:val="24"/>
              </w:rPr>
            </w:pPr>
            <w:r>
              <w:rPr>
                <w:rFonts w:hint="eastAsia" w:ascii="宋体" w:hAnsi="宋体" w:cs="宋体"/>
                <w:bCs/>
                <w:kern w:val="0"/>
                <w:sz w:val="24"/>
              </w:rPr>
              <w:t>计算机通用规范 第1部分：台式微型计算机</w:t>
            </w:r>
          </w:p>
        </w:tc>
        <w:tc>
          <w:tcPr>
            <w:tcW w:w="1500" w:type="pct"/>
            <w:vAlign w:val="center"/>
          </w:tcPr>
          <w:p>
            <w:pPr>
              <w:widowControl/>
              <w:jc w:val="center"/>
              <w:textAlignment w:val="center"/>
              <w:rPr>
                <w:rFonts w:hint="eastAsia" w:ascii="宋体" w:hAnsi="宋体" w:cs="宋体"/>
                <w:kern w:val="0"/>
                <w:sz w:val="24"/>
              </w:rPr>
            </w:pPr>
            <w:r>
              <w:rPr>
                <w:rFonts w:ascii="宋体" w:hAnsi="宋体" w:cs="宋体"/>
                <w:kern w:val="0"/>
                <w:sz w:val="24"/>
              </w:rPr>
              <w:t>GB/T 9813.1-2016</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2</w:t>
            </w:r>
          </w:p>
        </w:tc>
        <w:tc>
          <w:tcPr>
            <w:tcW w:w="3101" w:type="pct"/>
            <w:vAlign w:val="center"/>
          </w:tcPr>
          <w:p>
            <w:pPr>
              <w:widowControl/>
              <w:jc w:val="center"/>
              <w:textAlignment w:val="center"/>
              <w:rPr>
                <w:rFonts w:hint="eastAsia" w:ascii="宋体" w:hAnsi="宋体" w:cs="宋体"/>
                <w:kern w:val="0"/>
                <w:sz w:val="24"/>
              </w:rPr>
            </w:pPr>
            <w:r>
              <w:rPr>
                <w:rFonts w:hint="eastAsia" w:ascii="宋体" w:hAnsi="宋体" w:cs="宋体"/>
                <w:bCs/>
                <w:kern w:val="0"/>
                <w:sz w:val="24"/>
              </w:rPr>
              <w:t>台式激光打印机通用规范</w:t>
            </w:r>
          </w:p>
        </w:tc>
        <w:tc>
          <w:tcPr>
            <w:tcW w:w="1500" w:type="pct"/>
            <w:vAlign w:val="center"/>
          </w:tcPr>
          <w:p>
            <w:pPr>
              <w:widowControl/>
              <w:jc w:val="center"/>
              <w:textAlignment w:val="center"/>
              <w:rPr>
                <w:rFonts w:hint="eastAsia" w:ascii="宋体" w:hAnsi="宋体" w:cs="宋体"/>
                <w:kern w:val="0"/>
                <w:sz w:val="24"/>
              </w:rPr>
            </w:pPr>
            <w:r>
              <w:rPr>
                <w:rFonts w:ascii="宋体" w:hAnsi="宋体" w:cs="宋体"/>
                <w:kern w:val="0"/>
                <w:sz w:val="24"/>
              </w:rPr>
              <w:t>GB/T 17540</w:t>
            </w:r>
          </w:p>
        </w:tc>
      </w:tr>
    </w:tbl>
    <w:p>
      <w:pPr>
        <w:adjustRightInd w:val="0"/>
        <w:spacing w:line="360" w:lineRule="auto"/>
        <w:textAlignment w:val="baseline"/>
        <w:rPr>
          <w:rFonts w:hint="eastAsia" w:ascii="宋体" w:hAnsi="宋体" w:cs="宋体"/>
          <w:sz w:val="24"/>
        </w:rPr>
      </w:pPr>
    </w:p>
    <w:p>
      <w:pPr>
        <w:adjustRightInd w:val="0"/>
        <w:spacing w:line="360" w:lineRule="auto"/>
        <w:ind w:firstLine="480" w:firstLineChars="200"/>
        <w:textAlignment w:val="baseline"/>
        <w:rPr>
          <w:rFonts w:ascii="仿宋_GB2312"/>
          <w:bCs/>
          <w:sz w:val="24"/>
        </w:rPr>
      </w:pPr>
    </w:p>
    <w:p>
      <w:pPr>
        <w:adjustRightInd w:val="0"/>
        <w:spacing w:line="360" w:lineRule="auto"/>
        <w:ind w:firstLine="480" w:firstLineChars="200"/>
        <w:textAlignment w:val="baseline"/>
        <w:rPr>
          <w:rFonts w:ascii="仿宋_GB2312"/>
          <w:bCs/>
          <w:sz w:val="24"/>
        </w:rPr>
      </w:pPr>
      <w:r>
        <w:rPr>
          <w:rFonts w:hint="eastAsia" w:ascii="仿宋_GB2312"/>
          <w:bCs/>
          <w:sz w:val="24"/>
        </w:rPr>
        <w:t>（二）供货安装调试要求</w:t>
      </w:r>
    </w:p>
    <w:p>
      <w:pPr>
        <w:adjustRightInd w:val="0"/>
        <w:spacing w:line="360" w:lineRule="auto"/>
        <w:ind w:firstLine="480" w:firstLineChars="200"/>
        <w:textAlignment w:val="baseline"/>
        <w:rPr>
          <w:rFonts w:ascii="仿宋_GB2312"/>
          <w:bCs/>
          <w:sz w:val="24"/>
        </w:rPr>
      </w:pPr>
      <w:r>
        <w:rPr>
          <w:rFonts w:hint="eastAsia" w:ascii="仿宋_GB2312"/>
          <w:bCs/>
          <w:sz w:val="24"/>
        </w:rPr>
        <w:t>1.供货要求</w:t>
      </w:r>
    </w:p>
    <w:p>
      <w:pPr>
        <w:adjustRightInd w:val="0"/>
        <w:spacing w:line="360" w:lineRule="auto"/>
        <w:ind w:firstLine="480" w:firstLineChars="200"/>
        <w:textAlignment w:val="baseline"/>
        <w:rPr>
          <w:rFonts w:ascii="仿宋_GB2312"/>
          <w:bCs/>
          <w:sz w:val="24"/>
        </w:rPr>
      </w:pPr>
      <w:r>
        <w:rPr>
          <w:rFonts w:hint="eastAsia" w:ascii="仿宋_GB2312"/>
          <w:bCs/>
          <w:sz w:val="24"/>
        </w:rPr>
        <w:t>本项目时间紧，任务重，投标人须做出详细的供货方案及保证措施。为使设备在供货完成后能快速高效的投入运行，投标人还需编制详尽的安装调试方案及质量保证措施，确保本项目在限定的时间内能顺利完成。</w:t>
      </w:r>
    </w:p>
    <w:p>
      <w:pPr>
        <w:adjustRightInd w:val="0"/>
        <w:spacing w:line="360" w:lineRule="auto"/>
        <w:ind w:firstLine="480" w:firstLineChars="200"/>
        <w:textAlignment w:val="baseline"/>
        <w:rPr>
          <w:rFonts w:ascii="仿宋_GB2312"/>
          <w:bCs/>
          <w:sz w:val="24"/>
        </w:rPr>
      </w:pPr>
      <w:r>
        <w:rPr>
          <w:rFonts w:hint="eastAsia" w:ascii="仿宋_GB2312"/>
          <w:bCs/>
          <w:sz w:val="24"/>
        </w:rPr>
        <w:t>2.包装运输要求</w:t>
      </w:r>
    </w:p>
    <w:p>
      <w:pPr>
        <w:adjustRightInd w:val="0"/>
        <w:spacing w:line="360" w:lineRule="auto"/>
        <w:ind w:firstLine="480" w:firstLineChars="200"/>
        <w:textAlignment w:val="baseline"/>
        <w:rPr>
          <w:rFonts w:ascii="仿宋_GB2312"/>
          <w:bCs/>
          <w:sz w:val="24"/>
        </w:rPr>
      </w:pPr>
      <w:r>
        <w:rPr>
          <w:rFonts w:hint="eastAsia" w:ascii="仿宋_GB2312"/>
          <w:bCs/>
          <w:sz w:val="24"/>
        </w:rPr>
        <w:t>提供的全部货物均应采用本行业通用方式进行包装，且该包装应符合国家有关包装的法律、法规的规定。包装应适应于远距离运输、防潮、防震、防锈和防粗暴装卸，确保货物安全无损，运抵现场。由于包装不善所引起的货物锈蚀、损坏和损失均由中标人承担。</w:t>
      </w:r>
    </w:p>
    <w:p>
      <w:pPr>
        <w:adjustRightInd w:val="0"/>
        <w:spacing w:line="360" w:lineRule="auto"/>
        <w:ind w:firstLine="480" w:firstLineChars="200"/>
        <w:textAlignment w:val="baseline"/>
        <w:rPr>
          <w:rFonts w:ascii="仿宋_GB2312"/>
          <w:bCs/>
          <w:sz w:val="24"/>
        </w:rPr>
      </w:pPr>
      <w:r>
        <w:rPr>
          <w:rFonts w:hint="eastAsia" w:ascii="仿宋_GB2312"/>
          <w:bCs/>
          <w:sz w:val="24"/>
        </w:rPr>
        <w:t>3.安装调试要求</w:t>
      </w:r>
    </w:p>
    <w:p>
      <w:pPr>
        <w:adjustRightInd w:val="0"/>
        <w:spacing w:line="360" w:lineRule="auto"/>
        <w:ind w:firstLine="480" w:firstLineChars="200"/>
        <w:textAlignment w:val="baseline"/>
        <w:rPr>
          <w:rFonts w:ascii="仿宋_GB2312"/>
          <w:bCs/>
          <w:sz w:val="24"/>
        </w:rPr>
      </w:pPr>
      <w:r>
        <w:rPr>
          <w:rFonts w:hint="eastAsia" w:ascii="仿宋_GB2312"/>
          <w:bCs/>
          <w:sz w:val="24"/>
        </w:rPr>
        <w:t>3.1投标人有协调各方的责任，完成各系统最终的集成和联调，包括本项目所采购设备和现有条件的关联，并保质保量形成完整可用的设备，满足采购人要求。</w:t>
      </w:r>
    </w:p>
    <w:p>
      <w:pPr>
        <w:adjustRightInd w:val="0"/>
        <w:spacing w:line="360" w:lineRule="auto"/>
        <w:ind w:firstLine="480" w:firstLineChars="200"/>
        <w:textAlignment w:val="baseline"/>
        <w:rPr>
          <w:rFonts w:ascii="仿宋_GB2312"/>
          <w:bCs/>
          <w:sz w:val="24"/>
        </w:rPr>
      </w:pPr>
      <w:r>
        <w:rPr>
          <w:rFonts w:hint="eastAsia" w:ascii="仿宋_GB2312"/>
          <w:bCs/>
          <w:sz w:val="24"/>
        </w:rPr>
        <w:t>3.2根据本项目特点，投标人应在投标时向采购人提供安装调试及运行的进度计划表。</w:t>
      </w:r>
    </w:p>
    <w:p>
      <w:pPr>
        <w:adjustRightInd w:val="0"/>
        <w:spacing w:line="360" w:lineRule="auto"/>
        <w:ind w:firstLine="480" w:firstLineChars="200"/>
        <w:textAlignment w:val="baseline"/>
        <w:rPr>
          <w:rFonts w:ascii="仿宋_GB2312"/>
          <w:bCs/>
          <w:sz w:val="24"/>
        </w:rPr>
      </w:pPr>
      <w:r>
        <w:rPr>
          <w:rFonts w:hint="eastAsia" w:ascii="仿宋_GB2312"/>
          <w:bCs/>
          <w:sz w:val="24"/>
        </w:rPr>
        <w:t>3.3投标人应派足够的专业技术人员、施工人员到现场按安装设计规划进行设备安装。</w:t>
      </w:r>
    </w:p>
    <w:p>
      <w:pPr>
        <w:adjustRightInd w:val="0"/>
        <w:spacing w:line="360" w:lineRule="auto"/>
        <w:ind w:firstLine="480" w:firstLineChars="200"/>
        <w:textAlignment w:val="baseline"/>
        <w:rPr>
          <w:rFonts w:ascii="仿宋_GB2312"/>
          <w:bCs/>
          <w:sz w:val="24"/>
        </w:rPr>
      </w:pPr>
      <w:r>
        <w:rPr>
          <w:rFonts w:hint="eastAsia" w:ascii="仿宋_GB2312"/>
          <w:bCs/>
          <w:sz w:val="24"/>
        </w:rPr>
        <w:t>3.4投标人应充分了解项目的难度及特点，应提供能够指导设备安装、调试规划方案。</w:t>
      </w:r>
    </w:p>
    <w:p>
      <w:pPr>
        <w:adjustRightInd w:val="0"/>
        <w:spacing w:line="360" w:lineRule="auto"/>
        <w:ind w:firstLine="480" w:firstLineChars="200"/>
        <w:textAlignment w:val="baseline"/>
        <w:rPr>
          <w:rFonts w:ascii="仿宋_GB2312"/>
          <w:bCs/>
          <w:sz w:val="24"/>
        </w:rPr>
      </w:pPr>
      <w:r>
        <w:rPr>
          <w:rFonts w:hint="eastAsia" w:ascii="仿宋_GB2312"/>
          <w:bCs/>
          <w:sz w:val="24"/>
        </w:rPr>
        <w:t>（三）验收要求</w:t>
      </w:r>
    </w:p>
    <w:p>
      <w:pPr>
        <w:adjustRightInd w:val="0"/>
        <w:spacing w:line="360" w:lineRule="auto"/>
        <w:ind w:firstLine="480" w:firstLineChars="200"/>
        <w:textAlignment w:val="baseline"/>
        <w:rPr>
          <w:rFonts w:ascii="仿宋_GB2312"/>
          <w:bCs/>
          <w:sz w:val="24"/>
        </w:rPr>
      </w:pPr>
      <w:r>
        <w:rPr>
          <w:rFonts w:hint="eastAsia" w:ascii="仿宋_GB2312"/>
          <w:bCs/>
          <w:sz w:val="24"/>
        </w:rPr>
        <w:t>1.初步查验要求</w:t>
      </w:r>
    </w:p>
    <w:p>
      <w:pPr>
        <w:adjustRightInd w:val="0"/>
        <w:spacing w:line="360" w:lineRule="auto"/>
        <w:ind w:firstLine="480" w:firstLineChars="200"/>
        <w:textAlignment w:val="baseline"/>
        <w:rPr>
          <w:rFonts w:ascii="仿宋_GB2312"/>
          <w:bCs/>
          <w:sz w:val="24"/>
        </w:rPr>
      </w:pPr>
      <w:r>
        <w:rPr>
          <w:rFonts w:hint="eastAsia" w:ascii="仿宋_GB2312"/>
          <w:bCs/>
          <w:sz w:val="24"/>
        </w:rPr>
        <w:t>中标人应在签订合同后7日内，向采购人提供每项货物各一个，进行初步查验，采购人对中标人所交货物依照采购文件上的技术规格要求和国家有关标准进行验收，以确认中标人提供的货物是否达到投标文件中所承诺的技术功能及国家有关标准。中标人提供设备验收结果达不到投标文件中所承诺的技术功能的，视为初步验收不合格，中标人须按照招标文件要求重新提供合格设备并通过初步验收方可正式供货。</w:t>
      </w:r>
    </w:p>
    <w:p>
      <w:pPr>
        <w:adjustRightInd w:val="0"/>
        <w:spacing w:line="360" w:lineRule="auto"/>
        <w:ind w:firstLine="480" w:firstLineChars="200"/>
        <w:textAlignment w:val="baseline"/>
        <w:rPr>
          <w:rFonts w:ascii="仿宋_GB2312"/>
          <w:bCs/>
          <w:sz w:val="24"/>
        </w:rPr>
      </w:pPr>
      <w:r>
        <w:rPr>
          <w:rFonts w:hint="eastAsia" w:ascii="仿宋_GB2312"/>
          <w:bCs/>
          <w:sz w:val="24"/>
        </w:rPr>
        <w:t>2.验收要求</w:t>
      </w:r>
    </w:p>
    <w:p>
      <w:pPr>
        <w:adjustRightInd w:val="0"/>
        <w:spacing w:line="360" w:lineRule="auto"/>
        <w:ind w:firstLine="480" w:firstLineChars="200"/>
        <w:textAlignment w:val="baseline"/>
        <w:rPr>
          <w:rFonts w:ascii="仿宋_GB2312"/>
          <w:bCs/>
          <w:sz w:val="24"/>
        </w:rPr>
      </w:pPr>
      <w:r>
        <w:rPr>
          <w:rFonts w:hint="eastAsia" w:ascii="仿宋_GB2312"/>
          <w:bCs/>
          <w:sz w:val="24"/>
        </w:rPr>
        <w:t>2.1验收程序</w:t>
      </w:r>
    </w:p>
    <w:p>
      <w:pPr>
        <w:adjustRightInd w:val="0"/>
        <w:spacing w:line="360" w:lineRule="auto"/>
        <w:ind w:firstLine="480" w:firstLineChars="200"/>
        <w:textAlignment w:val="baseline"/>
        <w:rPr>
          <w:rFonts w:ascii="仿宋_GB2312"/>
          <w:bCs/>
          <w:sz w:val="24"/>
        </w:rPr>
      </w:pPr>
      <w:r>
        <w:rPr>
          <w:rFonts w:hint="eastAsia" w:ascii="仿宋_GB2312"/>
          <w:bCs/>
          <w:sz w:val="24"/>
        </w:rPr>
        <w:t>货物到达指定交货现场后，采购人或采购人指定的收货人（或最终用户）将会同中标人共同对合同货物进行检验，并出具双方签字的检验记录。检验过程所必需的专用设备或仪器由中标人提供。检验内容包括：</w:t>
      </w:r>
    </w:p>
    <w:p>
      <w:pPr>
        <w:adjustRightInd w:val="0"/>
        <w:spacing w:line="360" w:lineRule="auto"/>
        <w:ind w:firstLine="480" w:firstLineChars="200"/>
        <w:textAlignment w:val="baseline"/>
        <w:rPr>
          <w:rFonts w:ascii="仿宋_GB2312"/>
          <w:bCs/>
          <w:sz w:val="24"/>
        </w:rPr>
      </w:pPr>
      <w:r>
        <w:rPr>
          <w:rFonts w:hint="eastAsia" w:ascii="仿宋_GB2312"/>
          <w:bCs/>
          <w:sz w:val="24"/>
        </w:rPr>
        <w:t>（1）所供产品的规格、数量符合招标文件供应商投标承诺及采购合同约定的要求。</w:t>
      </w:r>
    </w:p>
    <w:p>
      <w:pPr>
        <w:adjustRightInd w:val="0"/>
        <w:spacing w:line="360" w:lineRule="auto"/>
        <w:ind w:firstLine="480" w:firstLineChars="200"/>
        <w:textAlignment w:val="baseline"/>
        <w:rPr>
          <w:rFonts w:ascii="仿宋_GB2312"/>
          <w:bCs/>
          <w:sz w:val="24"/>
        </w:rPr>
      </w:pPr>
      <w:r>
        <w:rPr>
          <w:rFonts w:hint="eastAsia" w:ascii="仿宋_GB2312"/>
          <w:bCs/>
          <w:sz w:val="24"/>
        </w:rPr>
        <w:t>（2）所供产品的材质、颜色符合招标文件供应商投标承诺及采购合同约定的要求。</w:t>
      </w:r>
    </w:p>
    <w:p>
      <w:pPr>
        <w:adjustRightInd w:val="0"/>
        <w:spacing w:line="360" w:lineRule="auto"/>
        <w:ind w:firstLine="480" w:firstLineChars="200"/>
        <w:textAlignment w:val="baseline"/>
        <w:rPr>
          <w:rFonts w:ascii="仿宋_GB2312"/>
          <w:bCs/>
          <w:sz w:val="24"/>
        </w:rPr>
      </w:pPr>
      <w:r>
        <w:rPr>
          <w:rFonts w:hint="eastAsia" w:ascii="仿宋_GB2312"/>
          <w:bCs/>
          <w:sz w:val="24"/>
        </w:rPr>
        <w:t>（3）所供产品的外观完好，无严重碰撞、表皮脱落、五金件生锈等明显瑕疵。</w:t>
      </w:r>
    </w:p>
    <w:p>
      <w:pPr>
        <w:adjustRightInd w:val="0"/>
        <w:spacing w:line="360" w:lineRule="auto"/>
        <w:ind w:firstLine="480" w:firstLineChars="200"/>
        <w:textAlignment w:val="baseline"/>
        <w:rPr>
          <w:rFonts w:ascii="仿宋_GB2312"/>
          <w:bCs/>
          <w:sz w:val="24"/>
        </w:rPr>
      </w:pPr>
      <w:r>
        <w:rPr>
          <w:rFonts w:hint="eastAsia" w:ascii="仿宋_GB2312"/>
          <w:bCs/>
          <w:sz w:val="24"/>
        </w:rPr>
        <w:t>（4）所供产品结构牢固，无安全隐患。</w:t>
      </w:r>
    </w:p>
    <w:p>
      <w:pPr>
        <w:adjustRightInd w:val="0"/>
        <w:spacing w:line="360" w:lineRule="auto"/>
        <w:ind w:firstLine="480" w:firstLineChars="200"/>
        <w:textAlignment w:val="baseline"/>
        <w:rPr>
          <w:rFonts w:ascii="仿宋_GB2312"/>
          <w:bCs/>
          <w:sz w:val="24"/>
        </w:rPr>
      </w:pPr>
      <w:r>
        <w:rPr>
          <w:rFonts w:hint="eastAsia" w:ascii="仿宋_GB2312"/>
          <w:bCs/>
          <w:sz w:val="24"/>
        </w:rPr>
        <w:t>（5）所有产品均已运输至指定地点，并安装调试完毕。</w:t>
      </w:r>
    </w:p>
    <w:p>
      <w:pPr>
        <w:adjustRightInd w:val="0"/>
        <w:spacing w:line="360" w:lineRule="auto"/>
        <w:ind w:firstLine="480" w:firstLineChars="200"/>
        <w:textAlignment w:val="baseline"/>
        <w:rPr>
          <w:rFonts w:ascii="仿宋_GB2312"/>
          <w:bCs/>
          <w:sz w:val="24"/>
        </w:rPr>
      </w:pPr>
      <w:r>
        <w:rPr>
          <w:rFonts w:hint="eastAsia" w:ascii="仿宋_GB2312"/>
          <w:bCs/>
          <w:sz w:val="24"/>
        </w:rPr>
        <w:t>（6）供应商投标承诺及采购合同约定的附件、工具、技术资料等齐全；提供产品使用说明书、合格证。</w:t>
      </w:r>
    </w:p>
    <w:p>
      <w:pPr>
        <w:adjustRightInd w:val="0"/>
        <w:spacing w:line="360" w:lineRule="auto"/>
        <w:ind w:firstLine="480" w:firstLineChars="200"/>
        <w:textAlignment w:val="baseline"/>
        <w:rPr>
          <w:rFonts w:ascii="仿宋_GB2312"/>
          <w:bCs/>
          <w:sz w:val="24"/>
        </w:rPr>
      </w:pPr>
      <w:r>
        <w:rPr>
          <w:rFonts w:hint="eastAsia" w:ascii="仿宋_GB2312"/>
          <w:bCs/>
          <w:sz w:val="24"/>
        </w:rPr>
        <w:t>2.2其他要求</w:t>
      </w:r>
    </w:p>
    <w:p>
      <w:pPr>
        <w:adjustRightInd w:val="0"/>
        <w:spacing w:line="360" w:lineRule="auto"/>
        <w:ind w:firstLine="480" w:firstLineChars="200"/>
        <w:textAlignment w:val="baseline"/>
        <w:rPr>
          <w:rFonts w:ascii="仿宋_GB2312"/>
          <w:bCs/>
          <w:sz w:val="24"/>
        </w:rPr>
      </w:pPr>
      <w:r>
        <w:rPr>
          <w:rFonts w:hint="eastAsia" w:ascii="仿宋_GB2312"/>
          <w:bCs/>
          <w:sz w:val="24"/>
        </w:rPr>
        <w:t>（1）所有货物必须是全新产品，生产日期为2023年8月1日及以后。</w:t>
      </w:r>
    </w:p>
    <w:p>
      <w:pPr>
        <w:adjustRightInd w:val="0"/>
        <w:spacing w:line="360" w:lineRule="auto"/>
        <w:ind w:firstLine="480" w:firstLineChars="200"/>
        <w:textAlignment w:val="baseline"/>
        <w:rPr>
          <w:rFonts w:ascii="仿宋_GB2312"/>
          <w:bCs/>
          <w:sz w:val="24"/>
        </w:rPr>
      </w:pPr>
      <w:r>
        <w:rPr>
          <w:rFonts w:hint="eastAsia" w:ascii="仿宋_GB2312"/>
          <w:bCs/>
          <w:sz w:val="24"/>
        </w:rPr>
        <w:t>（2）需满足国家标准、行业规范和合同要求的技术参数标准，若不同标准要求出现冲突时，以最严格的标准为准。货物达不到质量或规格要求的，中标人必须在15日内完成整改，若整改不合格，中标人可以拒收并解除合同，造成的一切损失由供货商承担。</w:t>
      </w:r>
    </w:p>
    <w:p>
      <w:pPr>
        <w:adjustRightInd w:val="0"/>
        <w:spacing w:line="360" w:lineRule="auto"/>
        <w:ind w:firstLine="480" w:firstLineChars="200"/>
        <w:textAlignment w:val="baseline"/>
        <w:rPr>
          <w:rFonts w:ascii="仿宋_GB2312"/>
          <w:bCs/>
          <w:sz w:val="24"/>
        </w:rPr>
      </w:pPr>
      <w:r>
        <w:rPr>
          <w:rFonts w:hint="eastAsia" w:ascii="仿宋_GB2312"/>
          <w:bCs/>
          <w:sz w:val="24"/>
        </w:rPr>
        <w:t>（3）采购人有权在验收及使用过程等阶段委托国家认证认可的检测机构对本项目成品即零部件等进行抽样检测。不符合招标文件、投标文件、采购合同和相关标准要求的将不予验收，检测不合格的，采购人将拒绝验收或退货，且做返厂处理，所发生费用由中标人承担并赔偿采购人的所有损失。</w:t>
      </w:r>
    </w:p>
    <w:p>
      <w:pPr>
        <w:adjustRightInd w:val="0"/>
        <w:spacing w:line="360" w:lineRule="auto"/>
        <w:ind w:firstLine="480" w:firstLineChars="200"/>
        <w:textAlignment w:val="baseline"/>
        <w:rPr>
          <w:rFonts w:ascii="仿宋_GB2312"/>
          <w:bCs/>
          <w:sz w:val="24"/>
        </w:rPr>
      </w:pPr>
      <w:r>
        <w:rPr>
          <w:rFonts w:hint="eastAsia" w:ascii="仿宋_GB2312"/>
          <w:bCs/>
          <w:sz w:val="24"/>
        </w:rPr>
        <w:t>（四）售后服务要求</w:t>
      </w:r>
    </w:p>
    <w:p>
      <w:pPr>
        <w:adjustRightInd w:val="0"/>
        <w:spacing w:line="360" w:lineRule="auto"/>
        <w:ind w:firstLine="480" w:firstLineChars="200"/>
        <w:textAlignment w:val="baseline"/>
        <w:rPr>
          <w:rFonts w:ascii="仿宋_GB2312"/>
          <w:bCs/>
          <w:sz w:val="24"/>
        </w:rPr>
      </w:pPr>
      <w:r>
        <w:rPr>
          <w:rFonts w:hint="eastAsia" w:ascii="仿宋_GB2312"/>
          <w:bCs/>
          <w:sz w:val="24"/>
        </w:rPr>
        <w:t>1.质保期</w:t>
      </w:r>
    </w:p>
    <w:p>
      <w:pPr>
        <w:adjustRightInd w:val="0"/>
        <w:spacing w:line="360" w:lineRule="auto"/>
        <w:ind w:firstLine="480" w:firstLineChars="200"/>
        <w:textAlignment w:val="baseline"/>
        <w:rPr>
          <w:rFonts w:ascii="仿宋_GB2312"/>
          <w:bCs/>
          <w:sz w:val="24"/>
        </w:rPr>
      </w:pPr>
      <w:r>
        <w:rPr>
          <w:rFonts w:hint="eastAsia" w:ascii="仿宋_GB2312"/>
          <w:bCs/>
          <w:sz w:val="24"/>
        </w:rPr>
        <w:t>1.1本项目所有货物质量保证期（以下简称质保期）3年，自交货并终验合格之日起计。</w:t>
      </w:r>
    </w:p>
    <w:p>
      <w:pPr>
        <w:adjustRightInd w:val="0"/>
        <w:spacing w:line="360" w:lineRule="auto"/>
        <w:ind w:firstLine="480" w:firstLineChars="200"/>
        <w:textAlignment w:val="baseline"/>
        <w:rPr>
          <w:rFonts w:ascii="仿宋_GB2312"/>
          <w:bCs/>
          <w:sz w:val="24"/>
        </w:rPr>
      </w:pPr>
      <w:r>
        <w:rPr>
          <w:rFonts w:hint="eastAsia" w:ascii="仿宋_GB2312"/>
          <w:bCs/>
          <w:sz w:val="24"/>
        </w:rPr>
        <w:t>1.2实际质保期以中标人在投标文件中承诺的质保期（不少于3年）为准，自交货并终验合格之日起计。</w:t>
      </w:r>
    </w:p>
    <w:p>
      <w:pPr>
        <w:adjustRightInd w:val="0"/>
        <w:spacing w:line="360" w:lineRule="auto"/>
        <w:ind w:firstLine="480" w:firstLineChars="200"/>
        <w:textAlignment w:val="baseline"/>
        <w:rPr>
          <w:rFonts w:ascii="仿宋_GB2312"/>
          <w:bCs/>
          <w:sz w:val="24"/>
        </w:rPr>
      </w:pPr>
      <w:r>
        <w:rPr>
          <w:rFonts w:hint="eastAsia" w:ascii="仿宋_GB2312"/>
          <w:bCs/>
          <w:sz w:val="24"/>
        </w:rPr>
        <w:t>1.3在实际质保期内中标人负责产品的日常维护保养；产品在正常使用情况下发生损坏或产生质量问题，中标人免费予以技术服务、维修或更换，并承担相应费用和零部件费用，不收取额外费用。超出中标人承诺的质保期，中标人应积极帮助采购人修理，并提供优惠价格的配件和服务。</w:t>
      </w:r>
    </w:p>
    <w:p>
      <w:pPr>
        <w:adjustRightInd w:val="0"/>
        <w:spacing w:line="360" w:lineRule="auto"/>
        <w:ind w:firstLine="480" w:firstLineChars="200"/>
        <w:textAlignment w:val="baseline"/>
        <w:rPr>
          <w:rFonts w:ascii="仿宋_GB2312"/>
          <w:bCs/>
          <w:sz w:val="24"/>
        </w:rPr>
      </w:pPr>
      <w:r>
        <w:rPr>
          <w:rFonts w:hint="eastAsia" w:ascii="仿宋_GB2312"/>
          <w:bCs/>
          <w:sz w:val="24"/>
        </w:rPr>
        <w:t>1.4本项目所有软件终身供采购人（或最终用户）免费使用、免费升级、不限制授权人数。</w:t>
      </w:r>
    </w:p>
    <w:p>
      <w:pPr>
        <w:adjustRightInd w:val="0"/>
        <w:spacing w:line="360" w:lineRule="auto"/>
        <w:ind w:firstLine="480" w:firstLineChars="200"/>
        <w:textAlignment w:val="baseline"/>
        <w:rPr>
          <w:rFonts w:ascii="仿宋_GB2312"/>
          <w:bCs/>
          <w:sz w:val="24"/>
        </w:rPr>
      </w:pPr>
      <w:r>
        <w:rPr>
          <w:rFonts w:hint="eastAsia" w:ascii="仿宋_GB2312"/>
          <w:bCs/>
          <w:sz w:val="24"/>
        </w:rPr>
        <w:t>2.售后服务</w:t>
      </w:r>
    </w:p>
    <w:p>
      <w:pPr>
        <w:adjustRightInd w:val="0"/>
        <w:spacing w:line="360" w:lineRule="auto"/>
        <w:ind w:firstLine="480" w:firstLineChars="200"/>
        <w:textAlignment w:val="baseline"/>
        <w:rPr>
          <w:rFonts w:ascii="仿宋_GB2312"/>
          <w:bCs/>
          <w:sz w:val="24"/>
        </w:rPr>
      </w:pPr>
      <w:r>
        <w:rPr>
          <w:rFonts w:hint="eastAsia" w:ascii="仿宋_GB2312"/>
          <w:bCs/>
          <w:sz w:val="24"/>
        </w:rPr>
        <w:t>2.1中标人应提供售后服务中心地址、负责人联系方式并成立服务组织机构。选派专人负责所有设备的运行维护，设置24小时技术服务热线接受采购人技术咨询与问题响应，解决采购人的各类问题。</w:t>
      </w:r>
    </w:p>
    <w:p>
      <w:pPr>
        <w:adjustRightInd w:val="0"/>
        <w:spacing w:line="360" w:lineRule="auto"/>
        <w:ind w:firstLine="480" w:firstLineChars="200"/>
        <w:textAlignment w:val="baseline"/>
        <w:rPr>
          <w:rFonts w:ascii="仿宋_GB2312"/>
          <w:bCs/>
          <w:sz w:val="24"/>
        </w:rPr>
      </w:pPr>
      <w:r>
        <w:rPr>
          <w:rFonts w:hint="eastAsia" w:ascii="仿宋_GB2312"/>
          <w:bCs/>
          <w:sz w:val="24"/>
        </w:rPr>
        <w:t>2.2电话无法解决的问题，中标人应在接到故障通知后2小时内做出响应，并采取行动。需现场解决的，24小时内组织专业维修队伍到达现场，对产品进行维修；现场无法解决的，质保期内免费包退、包换，超出质保期的协助中标人制定解决方案、提供解决渠道。如中标人在接到通知后2个工作日内未做出响应，中标人必须对由于故障所造成的损失后果负责。</w:t>
      </w:r>
    </w:p>
    <w:p>
      <w:pPr>
        <w:adjustRightInd w:val="0"/>
        <w:spacing w:line="360" w:lineRule="auto"/>
        <w:ind w:firstLine="480" w:firstLineChars="200"/>
        <w:textAlignment w:val="baseline"/>
        <w:rPr>
          <w:rFonts w:ascii="仿宋_GB2312"/>
          <w:bCs/>
          <w:sz w:val="24"/>
        </w:rPr>
      </w:pPr>
      <w:r>
        <w:rPr>
          <w:rFonts w:hint="eastAsia" w:ascii="仿宋_GB2312"/>
          <w:bCs/>
          <w:sz w:val="24"/>
        </w:rPr>
        <w:t>2.3中标人应明确做出运输、安装至少2次的搬迁拆装服务承诺，自最终验收合格开始计算搬迁拆装次数。</w:t>
      </w:r>
    </w:p>
    <w:p>
      <w:pPr>
        <w:adjustRightInd w:val="0"/>
        <w:spacing w:line="360" w:lineRule="auto"/>
        <w:ind w:firstLine="480" w:firstLineChars="200"/>
        <w:textAlignment w:val="baseline"/>
        <w:rPr>
          <w:rFonts w:ascii="仿宋_GB2312"/>
          <w:bCs/>
          <w:sz w:val="24"/>
        </w:rPr>
      </w:pPr>
      <w:r>
        <w:rPr>
          <w:rFonts w:hint="eastAsia" w:ascii="仿宋_GB2312"/>
          <w:bCs/>
          <w:sz w:val="24"/>
        </w:rPr>
        <w:t>2.4中标人应明确承诺为采购人提供所投产品样式设计、制订详细需求等服务。</w:t>
      </w:r>
    </w:p>
    <w:p>
      <w:pPr>
        <w:adjustRightInd w:val="0"/>
        <w:spacing w:line="360" w:lineRule="auto"/>
        <w:ind w:firstLine="480" w:firstLineChars="200"/>
        <w:textAlignment w:val="baseline"/>
        <w:rPr>
          <w:rFonts w:ascii="仿宋_GB2312"/>
          <w:bCs/>
          <w:sz w:val="24"/>
        </w:rPr>
      </w:pPr>
      <w:r>
        <w:rPr>
          <w:rFonts w:hint="eastAsia" w:ascii="仿宋_GB2312"/>
          <w:bCs/>
          <w:sz w:val="24"/>
        </w:rPr>
        <w:t>2.5中标人应承诺所提供的产品（包括硬件、配套软件）为符合国家知识产权法律法规要求的正规正版产品，不属于假冒伪劣商品；中标人还应保证采购人不受到第三方关于侵犯知识产权以及专利权、商标权或工业设计等知识产权方面的指控，任何第三方如果提出此方面指控均与采购人无关，中标人应与第三方交涉，并承担可能发生的一切法律责任、费用和后果；若采购人因此遭致损失的，中标人须赔偿该损失</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1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6QxnwzICAABlBAAADgAAAAAAAAABACAAAAAfAQAAZHJzL2Uyb0RvYy54bWxQSwUG&#10;AAAAAAYABgBZAQAAwwU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35EA3"/>
    <w:multiLevelType w:val="multilevel"/>
    <w:tmpl w:val="03835EA3"/>
    <w:lvl w:ilvl="0" w:tentative="0">
      <w:start w:val="3"/>
      <w:numFmt w:val="japaneseCounting"/>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55172C66"/>
    <w:multiLevelType w:val="multilevel"/>
    <w:tmpl w:val="55172C66"/>
    <w:lvl w:ilvl="0" w:tentative="0">
      <w:start w:val="3"/>
      <w:numFmt w:val="japaneseCounting"/>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5YmQwZjVjNWJiYWU5M2EwNDBiNDllODY4NjViNTAifQ=="/>
  </w:docVars>
  <w:rsids>
    <w:rsidRoot w:val="00954E9A"/>
    <w:rsid w:val="00030438"/>
    <w:rsid w:val="00065DCA"/>
    <w:rsid w:val="0007298C"/>
    <w:rsid w:val="000B7D48"/>
    <w:rsid w:val="000C5DEB"/>
    <w:rsid w:val="000C6702"/>
    <w:rsid w:val="000D28C5"/>
    <w:rsid w:val="000E5385"/>
    <w:rsid w:val="00124E82"/>
    <w:rsid w:val="00126AC8"/>
    <w:rsid w:val="00146885"/>
    <w:rsid w:val="00164584"/>
    <w:rsid w:val="00165629"/>
    <w:rsid w:val="00185E33"/>
    <w:rsid w:val="001B0F55"/>
    <w:rsid w:val="001B255F"/>
    <w:rsid w:val="001F440E"/>
    <w:rsid w:val="002023A5"/>
    <w:rsid w:val="002411D0"/>
    <w:rsid w:val="00264634"/>
    <w:rsid w:val="00266EF2"/>
    <w:rsid w:val="002728F7"/>
    <w:rsid w:val="002841D7"/>
    <w:rsid w:val="002B0B81"/>
    <w:rsid w:val="002F0D6D"/>
    <w:rsid w:val="002F49BA"/>
    <w:rsid w:val="0033012C"/>
    <w:rsid w:val="003429F9"/>
    <w:rsid w:val="00343132"/>
    <w:rsid w:val="00363BC1"/>
    <w:rsid w:val="0036682F"/>
    <w:rsid w:val="0037670D"/>
    <w:rsid w:val="003961D5"/>
    <w:rsid w:val="003A3649"/>
    <w:rsid w:val="003D0297"/>
    <w:rsid w:val="003F58A6"/>
    <w:rsid w:val="0040074E"/>
    <w:rsid w:val="0040344E"/>
    <w:rsid w:val="00406C8E"/>
    <w:rsid w:val="004550AB"/>
    <w:rsid w:val="00460AF1"/>
    <w:rsid w:val="00461046"/>
    <w:rsid w:val="00476837"/>
    <w:rsid w:val="004874F0"/>
    <w:rsid w:val="004B7B17"/>
    <w:rsid w:val="004D0CC9"/>
    <w:rsid w:val="004F73FC"/>
    <w:rsid w:val="00500681"/>
    <w:rsid w:val="00504B4F"/>
    <w:rsid w:val="0053316F"/>
    <w:rsid w:val="00537974"/>
    <w:rsid w:val="005514C3"/>
    <w:rsid w:val="00570532"/>
    <w:rsid w:val="005739E1"/>
    <w:rsid w:val="005F0E1A"/>
    <w:rsid w:val="005F2BA8"/>
    <w:rsid w:val="00602F25"/>
    <w:rsid w:val="00662C73"/>
    <w:rsid w:val="00671663"/>
    <w:rsid w:val="00694F35"/>
    <w:rsid w:val="00697A88"/>
    <w:rsid w:val="006A5B4A"/>
    <w:rsid w:val="006B5768"/>
    <w:rsid w:val="006D7921"/>
    <w:rsid w:val="006E1B9F"/>
    <w:rsid w:val="00715889"/>
    <w:rsid w:val="00723E8D"/>
    <w:rsid w:val="0074139E"/>
    <w:rsid w:val="007528FD"/>
    <w:rsid w:val="00786F61"/>
    <w:rsid w:val="007D1465"/>
    <w:rsid w:val="007E3E9A"/>
    <w:rsid w:val="008078CD"/>
    <w:rsid w:val="00813F3A"/>
    <w:rsid w:val="00824F9E"/>
    <w:rsid w:val="00832628"/>
    <w:rsid w:val="00837226"/>
    <w:rsid w:val="00851FF0"/>
    <w:rsid w:val="008558C1"/>
    <w:rsid w:val="008D1B07"/>
    <w:rsid w:val="008D4EAB"/>
    <w:rsid w:val="008E38BD"/>
    <w:rsid w:val="008E62E8"/>
    <w:rsid w:val="008F1F9B"/>
    <w:rsid w:val="008F2CE7"/>
    <w:rsid w:val="00903E44"/>
    <w:rsid w:val="0093691D"/>
    <w:rsid w:val="00953E66"/>
    <w:rsid w:val="00954E9A"/>
    <w:rsid w:val="00963578"/>
    <w:rsid w:val="009808FA"/>
    <w:rsid w:val="009A2575"/>
    <w:rsid w:val="009D0040"/>
    <w:rsid w:val="009F0FB9"/>
    <w:rsid w:val="00A064B3"/>
    <w:rsid w:val="00A110E9"/>
    <w:rsid w:val="00A232F9"/>
    <w:rsid w:val="00A353D1"/>
    <w:rsid w:val="00A418F2"/>
    <w:rsid w:val="00A569F4"/>
    <w:rsid w:val="00A57287"/>
    <w:rsid w:val="00A73ED5"/>
    <w:rsid w:val="00A9540F"/>
    <w:rsid w:val="00AA245D"/>
    <w:rsid w:val="00AC58CF"/>
    <w:rsid w:val="00AC6B4F"/>
    <w:rsid w:val="00AE0F66"/>
    <w:rsid w:val="00AF3202"/>
    <w:rsid w:val="00AF6C1F"/>
    <w:rsid w:val="00AF7B1F"/>
    <w:rsid w:val="00B057B3"/>
    <w:rsid w:val="00B12420"/>
    <w:rsid w:val="00B14C95"/>
    <w:rsid w:val="00B23209"/>
    <w:rsid w:val="00B24B9E"/>
    <w:rsid w:val="00B26A29"/>
    <w:rsid w:val="00B4385A"/>
    <w:rsid w:val="00B93E86"/>
    <w:rsid w:val="00B9636B"/>
    <w:rsid w:val="00BB60B3"/>
    <w:rsid w:val="00BC21C5"/>
    <w:rsid w:val="00BC65DE"/>
    <w:rsid w:val="00BE4F5F"/>
    <w:rsid w:val="00BE7E05"/>
    <w:rsid w:val="00BF2021"/>
    <w:rsid w:val="00C11129"/>
    <w:rsid w:val="00C356A5"/>
    <w:rsid w:val="00C369F0"/>
    <w:rsid w:val="00C44B9F"/>
    <w:rsid w:val="00C531A0"/>
    <w:rsid w:val="00C63E46"/>
    <w:rsid w:val="00C80706"/>
    <w:rsid w:val="00C838CB"/>
    <w:rsid w:val="00CA2F8D"/>
    <w:rsid w:val="00CC5240"/>
    <w:rsid w:val="00CD1BA8"/>
    <w:rsid w:val="00CF14DD"/>
    <w:rsid w:val="00CF495F"/>
    <w:rsid w:val="00D007E1"/>
    <w:rsid w:val="00D13AF2"/>
    <w:rsid w:val="00D41D8C"/>
    <w:rsid w:val="00D50847"/>
    <w:rsid w:val="00D67D00"/>
    <w:rsid w:val="00D72D7E"/>
    <w:rsid w:val="00D84250"/>
    <w:rsid w:val="00D858BC"/>
    <w:rsid w:val="00D948BE"/>
    <w:rsid w:val="00D94FDE"/>
    <w:rsid w:val="00DA2FD5"/>
    <w:rsid w:val="00DA43BC"/>
    <w:rsid w:val="00DF1949"/>
    <w:rsid w:val="00E25948"/>
    <w:rsid w:val="00E2601F"/>
    <w:rsid w:val="00E355E8"/>
    <w:rsid w:val="00E404CB"/>
    <w:rsid w:val="00E64F3A"/>
    <w:rsid w:val="00E6685F"/>
    <w:rsid w:val="00E8418F"/>
    <w:rsid w:val="00E95441"/>
    <w:rsid w:val="00EA3070"/>
    <w:rsid w:val="00EC156C"/>
    <w:rsid w:val="00EE1E74"/>
    <w:rsid w:val="00EE4D68"/>
    <w:rsid w:val="00F11210"/>
    <w:rsid w:val="00F142B1"/>
    <w:rsid w:val="00F16374"/>
    <w:rsid w:val="00F33A34"/>
    <w:rsid w:val="00F35EF7"/>
    <w:rsid w:val="00F51ED3"/>
    <w:rsid w:val="00F54929"/>
    <w:rsid w:val="00F54BB3"/>
    <w:rsid w:val="00F65778"/>
    <w:rsid w:val="00F8571C"/>
    <w:rsid w:val="00F94D48"/>
    <w:rsid w:val="00FA0F09"/>
    <w:rsid w:val="00FD6584"/>
    <w:rsid w:val="00FF05DC"/>
    <w:rsid w:val="3F526A16"/>
    <w:rsid w:val="504651CF"/>
    <w:rsid w:val="608E75B5"/>
    <w:rsid w:val="682063A8"/>
    <w:rsid w:val="6B26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1"/>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3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33"/>
    <w:autoRedefine/>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34"/>
    <w:autoRedefine/>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35"/>
    <w:autoRedefine/>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36"/>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7"/>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9"/>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8">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8"/>
    <w:autoRedefine/>
    <w:qFormat/>
    <w:uiPriority w:val="0"/>
    <w:pPr>
      <w:jc w:val="left"/>
    </w:pPr>
  </w:style>
  <w:style w:type="paragraph" w:styleId="12">
    <w:name w:val="Body Text"/>
    <w:basedOn w:val="1"/>
    <w:link w:val="49"/>
    <w:autoRedefine/>
    <w:qFormat/>
    <w:uiPriority w:val="0"/>
  </w:style>
  <w:style w:type="paragraph" w:styleId="13">
    <w:name w:val="Body Text Indent"/>
    <w:basedOn w:val="1"/>
    <w:link w:val="53"/>
    <w:autoRedefine/>
    <w:unhideWhenUsed/>
    <w:qFormat/>
    <w:uiPriority w:val="0"/>
    <w:pPr>
      <w:spacing w:after="120"/>
      <w:ind w:left="420" w:leftChars="200"/>
    </w:pPr>
  </w:style>
  <w:style w:type="paragraph" w:styleId="14">
    <w:name w:val="Plain Text"/>
    <w:basedOn w:val="1"/>
    <w:next w:val="15"/>
    <w:link w:val="50"/>
    <w:autoRedefine/>
    <w:qFormat/>
    <w:uiPriority w:val="0"/>
    <w:rPr>
      <w:rFonts w:ascii="宋体" w:hAnsi="Courier New"/>
    </w:rPr>
  </w:style>
  <w:style w:type="paragraph" w:styleId="15">
    <w:name w:val="index 9"/>
    <w:basedOn w:val="1"/>
    <w:next w:val="1"/>
    <w:autoRedefine/>
    <w:unhideWhenUsed/>
    <w:qFormat/>
    <w:uiPriority w:val="99"/>
    <w:pPr>
      <w:ind w:left="1600" w:leftChars="1600"/>
    </w:pPr>
  </w:style>
  <w:style w:type="paragraph" w:styleId="16">
    <w:name w:val="footer"/>
    <w:basedOn w:val="1"/>
    <w:link w:val="51"/>
    <w:autoRedefine/>
    <w:qFormat/>
    <w:uiPriority w:val="0"/>
    <w:pPr>
      <w:tabs>
        <w:tab w:val="center" w:pos="4153"/>
        <w:tab w:val="right" w:pos="8306"/>
      </w:tabs>
      <w:snapToGrid w:val="0"/>
      <w:jc w:val="left"/>
    </w:pPr>
    <w:rPr>
      <w:sz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57"/>
    <w:autoRedefine/>
    <w:unhideWhenUsed/>
    <w:qFormat/>
    <w:uiPriority w:val="0"/>
    <w:pPr>
      <w:tabs>
        <w:tab w:val="center" w:pos="4153"/>
        <w:tab w:val="right" w:pos="8306"/>
      </w:tabs>
      <w:snapToGrid w:val="0"/>
      <w:jc w:val="center"/>
    </w:pPr>
    <w:rPr>
      <w:sz w:val="18"/>
      <w:szCs w:val="18"/>
    </w:rPr>
  </w:style>
  <w:style w:type="paragraph" w:styleId="19">
    <w:name w:val="Subtitle"/>
    <w:basedOn w:val="1"/>
    <w:next w:val="1"/>
    <w:link w:val="41"/>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footnote text"/>
    <w:basedOn w:val="1"/>
    <w:link w:val="59"/>
    <w:qFormat/>
    <w:uiPriority w:val="0"/>
    <w:pPr>
      <w:snapToGrid w:val="0"/>
      <w:jc w:val="left"/>
    </w:pPr>
    <w:rPr>
      <w:sz w:val="18"/>
    </w:rPr>
  </w:style>
  <w:style w:type="paragraph" w:styleId="21">
    <w:name w:val="toc 2"/>
    <w:basedOn w:val="1"/>
    <w:next w:val="1"/>
    <w:autoRedefine/>
    <w:qFormat/>
    <w:uiPriority w:val="39"/>
    <w:pPr>
      <w:ind w:left="210"/>
      <w:jc w:val="left"/>
    </w:pPr>
    <w:rPr>
      <w:rFonts w:ascii="Calibri" w:hAnsi="Calibri"/>
      <w:smallCaps/>
      <w:sz w:val="20"/>
      <w:szCs w:val="20"/>
    </w:rPr>
  </w:style>
  <w:style w:type="paragraph" w:styleId="22">
    <w:name w:val="Title"/>
    <w:basedOn w:val="1"/>
    <w:next w:val="1"/>
    <w:link w:val="40"/>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3">
    <w:name w:val="Body Text First Indent"/>
    <w:basedOn w:val="12"/>
    <w:next w:val="24"/>
    <w:link w:val="52"/>
    <w:autoRedefine/>
    <w:unhideWhenUsed/>
    <w:qFormat/>
    <w:uiPriority w:val="99"/>
    <w:pPr>
      <w:tabs>
        <w:tab w:val="left" w:pos="567"/>
      </w:tabs>
      <w:spacing w:after="120"/>
      <w:ind w:firstLine="420" w:firstLineChars="100"/>
    </w:pPr>
  </w:style>
  <w:style w:type="paragraph" w:styleId="24">
    <w:name w:val="Body Text First Indent 2"/>
    <w:basedOn w:val="13"/>
    <w:next w:val="1"/>
    <w:link w:val="54"/>
    <w:autoRedefine/>
    <w:qFormat/>
    <w:uiPriority w:val="0"/>
    <w:pPr>
      <w:spacing w:line="480" w:lineRule="exact"/>
      <w:ind w:firstLine="420" w:firstLineChars="200"/>
    </w:pPr>
    <w:rPr>
      <w:sz w:val="24"/>
      <w:szCs w:val="20"/>
    </w:rPr>
  </w:style>
  <w:style w:type="table" w:styleId="26">
    <w:name w:val="Table Grid"/>
    <w:basedOn w:val="2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Theme"/>
    <w:basedOn w:val="2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annotation reference"/>
    <w:basedOn w:val="28"/>
    <w:autoRedefine/>
    <w:semiHidden/>
    <w:unhideWhenUsed/>
    <w:qFormat/>
    <w:uiPriority w:val="99"/>
    <w:rPr>
      <w:sz w:val="21"/>
      <w:szCs w:val="21"/>
    </w:rPr>
  </w:style>
  <w:style w:type="character" w:styleId="30">
    <w:name w:val="footnote reference"/>
    <w:autoRedefine/>
    <w:qFormat/>
    <w:uiPriority w:val="0"/>
    <w:rPr>
      <w:vertAlign w:val="superscript"/>
    </w:rPr>
  </w:style>
  <w:style w:type="character" w:customStyle="1" w:styleId="31">
    <w:name w:val="标题 1 字符"/>
    <w:basedOn w:val="28"/>
    <w:link w:val="2"/>
    <w:autoRedefine/>
    <w:qFormat/>
    <w:uiPriority w:val="9"/>
    <w:rPr>
      <w:rFonts w:asciiTheme="majorHAnsi" w:hAnsiTheme="majorHAnsi" w:eastAsiaTheme="majorEastAsia" w:cstheme="majorBidi"/>
      <w:color w:val="2F5597" w:themeColor="accent1" w:themeShade="BF"/>
      <w:sz w:val="48"/>
      <w:szCs w:val="48"/>
    </w:rPr>
  </w:style>
  <w:style w:type="character" w:customStyle="1" w:styleId="32">
    <w:name w:val="标题 2 字符"/>
    <w:basedOn w:val="28"/>
    <w:link w:val="3"/>
    <w:autoRedefine/>
    <w:semiHidden/>
    <w:qFormat/>
    <w:uiPriority w:val="9"/>
    <w:rPr>
      <w:rFonts w:asciiTheme="majorHAnsi" w:hAnsiTheme="majorHAnsi" w:eastAsiaTheme="majorEastAsia" w:cstheme="majorBidi"/>
      <w:color w:val="2F5597" w:themeColor="accent1" w:themeShade="BF"/>
      <w:sz w:val="40"/>
      <w:szCs w:val="40"/>
    </w:rPr>
  </w:style>
  <w:style w:type="character" w:customStyle="1" w:styleId="33">
    <w:name w:val="标题 3 字符"/>
    <w:basedOn w:val="28"/>
    <w:link w:val="4"/>
    <w:autoRedefine/>
    <w:semiHidden/>
    <w:qFormat/>
    <w:uiPriority w:val="9"/>
    <w:rPr>
      <w:rFonts w:asciiTheme="majorHAnsi" w:hAnsiTheme="majorHAnsi" w:eastAsiaTheme="majorEastAsia" w:cstheme="majorBidi"/>
      <w:color w:val="2F5597" w:themeColor="accent1" w:themeShade="BF"/>
      <w:sz w:val="32"/>
      <w:szCs w:val="32"/>
    </w:rPr>
  </w:style>
  <w:style w:type="character" w:customStyle="1" w:styleId="34">
    <w:name w:val="标题 4 字符"/>
    <w:basedOn w:val="28"/>
    <w:link w:val="5"/>
    <w:autoRedefine/>
    <w:semiHidden/>
    <w:uiPriority w:val="9"/>
    <w:rPr>
      <w:rFonts w:cstheme="majorBidi"/>
      <w:color w:val="2F5597" w:themeColor="accent1" w:themeShade="BF"/>
      <w:sz w:val="28"/>
      <w:szCs w:val="28"/>
    </w:rPr>
  </w:style>
  <w:style w:type="character" w:customStyle="1" w:styleId="35">
    <w:name w:val="标题 5 字符"/>
    <w:basedOn w:val="28"/>
    <w:link w:val="6"/>
    <w:autoRedefine/>
    <w:semiHidden/>
    <w:qFormat/>
    <w:uiPriority w:val="9"/>
    <w:rPr>
      <w:rFonts w:cstheme="majorBidi"/>
      <w:color w:val="2F5597" w:themeColor="accent1" w:themeShade="BF"/>
      <w:sz w:val="24"/>
      <w:szCs w:val="24"/>
    </w:rPr>
  </w:style>
  <w:style w:type="character" w:customStyle="1" w:styleId="36">
    <w:name w:val="标题 6 字符"/>
    <w:basedOn w:val="28"/>
    <w:link w:val="7"/>
    <w:autoRedefine/>
    <w:semiHidden/>
    <w:qFormat/>
    <w:uiPriority w:val="9"/>
    <w:rPr>
      <w:rFonts w:cstheme="majorBidi"/>
      <w:b/>
      <w:bCs/>
      <w:color w:val="2F5597" w:themeColor="accent1" w:themeShade="BF"/>
    </w:rPr>
  </w:style>
  <w:style w:type="character" w:customStyle="1" w:styleId="37">
    <w:name w:val="标题 7 字符"/>
    <w:basedOn w:val="28"/>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28"/>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2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28"/>
    <w:link w:val="22"/>
    <w:autoRedefine/>
    <w:qFormat/>
    <w:uiPriority w:val="10"/>
    <w:rPr>
      <w:rFonts w:asciiTheme="majorHAnsi" w:hAnsiTheme="majorHAnsi" w:eastAsiaTheme="majorEastAsia" w:cstheme="majorBidi"/>
      <w:spacing w:val="-10"/>
      <w:kern w:val="28"/>
      <w:sz w:val="56"/>
      <w:szCs w:val="56"/>
    </w:rPr>
  </w:style>
  <w:style w:type="character" w:customStyle="1" w:styleId="41">
    <w:name w:val="副标题 字符"/>
    <w:basedOn w:val="28"/>
    <w:link w:val="19"/>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28"/>
    <w:link w:val="42"/>
    <w:autoRedefine/>
    <w:qFormat/>
    <w:uiPriority w:val="29"/>
    <w:rPr>
      <w:i/>
      <w:iCs/>
      <w:color w:val="404040" w:themeColor="text1" w:themeTint="BF"/>
      <w14:textFill>
        <w14:solidFill>
          <w14:schemeClr w14:val="tx1">
            <w14:lumMod w14:val="75000"/>
            <w14:lumOff w14:val="25000"/>
          </w14:schemeClr>
        </w14:solidFill>
      </w14:textFill>
    </w:rPr>
  </w:style>
  <w:style w:type="paragraph" w:styleId="44">
    <w:name w:val="List Paragraph"/>
    <w:basedOn w:val="1"/>
    <w:autoRedefine/>
    <w:qFormat/>
    <w:uiPriority w:val="34"/>
    <w:pPr>
      <w:ind w:left="720"/>
      <w:contextualSpacing/>
    </w:pPr>
  </w:style>
  <w:style w:type="character" w:customStyle="1" w:styleId="45">
    <w:name w:val="明显强调1"/>
    <w:basedOn w:val="28"/>
    <w:autoRedefine/>
    <w:qFormat/>
    <w:uiPriority w:val="21"/>
    <w:rPr>
      <w:i/>
      <w:iCs/>
      <w:color w:val="2F5597" w:themeColor="accent1" w:themeShade="BF"/>
    </w:rPr>
  </w:style>
  <w:style w:type="paragraph" w:styleId="46">
    <w:name w:val="Intense Quote"/>
    <w:basedOn w:val="1"/>
    <w:next w:val="1"/>
    <w:link w:val="47"/>
    <w:autoRedefine/>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7">
    <w:name w:val="明显引用 字符"/>
    <w:basedOn w:val="28"/>
    <w:link w:val="46"/>
    <w:autoRedefine/>
    <w:qFormat/>
    <w:uiPriority w:val="30"/>
    <w:rPr>
      <w:i/>
      <w:iCs/>
      <w:color w:val="2F5597" w:themeColor="accent1" w:themeShade="BF"/>
    </w:rPr>
  </w:style>
  <w:style w:type="character" w:customStyle="1" w:styleId="48">
    <w:name w:val="明显参考1"/>
    <w:basedOn w:val="28"/>
    <w:autoRedefine/>
    <w:qFormat/>
    <w:uiPriority w:val="32"/>
    <w:rPr>
      <w:b/>
      <w:bCs/>
      <w:smallCaps/>
      <w:color w:val="2F5597" w:themeColor="accent1" w:themeShade="BF"/>
      <w:spacing w:val="5"/>
    </w:rPr>
  </w:style>
  <w:style w:type="character" w:customStyle="1" w:styleId="49">
    <w:name w:val="正文文本 字符"/>
    <w:basedOn w:val="28"/>
    <w:link w:val="12"/>
    <w:autoRedefine/>
    <w:qFormat/>
    <w:uiPriority w:val="0"/>
    <w:rPr>
      <w:rFonts w:ascii="Times New Roman" w:hAnsi="Times New Roman" w:eastAsia="仿宋_GB2312" w:cs="Times New Roman"/>
      <w:sz w:val="32"/>
      <w:szCs w:val="24"/>
    </w:rPr>
  </w:style>
  <w:style w:type="character" w:customStyle="1" w:styleId="50">
    <w:name w:val="纯文本 字符"/>
    <w:basedOn w:val="28"/>
    <w:link w:val="14"/>
    <w:autoRedefine/>
    <w:qFormat/>
    <w:uiPriority w:val="0"/>
    <w:rPr>
      <w:rFonts w:ascii="宋体" w:hAnsi="Courier New" w:eastAsia="仿宋_GB2312" w:cs="Times New Roman"/>
      <w:sz w:val="32"/>
      <w:szCs w:val="24"/>
    </w:rPr>
  </w:style>
  <w:style w:type="character" w:customStyle="1" w:styleId="51">
    <w:name w:val="页脚 字符"/>
    <w:basedOn w:val="28"/>
    <w:link w:val="16"/>
    <w:autoRedefine/>
    <w:qFormat/>
    <w:uiPriority w:val="0"/>
    <w:rPr>
      <w:rFonts w:ascii="Times New Roman" w:hAnsi="Times New Roman" w:eastAsia="仿宋_GB2312" w:cs="Times New Roman"/>
      <w:sz w:val="18"/>
      <w:szCs w:val="24"/>
    </w:rPr>
  </w:style>
  <w:style w:type="character" w:customStyle="1" w:styleId="52">
    <w:name w:val="正文文本首行缩进 字符"/>
    <w:basedOn w:val="49"/>
    <w:link w:val="23"/>
    <w:autoRedefine/>
    <w:qFormat/>
    <w:uiPriority w:val="99"/>
    <w:rPr>
      <w:rFonts w:ascii="Times New Roman" w:hAnsi="Times New Roman" w:eastAsia="仿宋_GB2312" w:cs="Times New Roman"/>
      <w:sz w:val="32"/>
      <w:szCs w:val="24"/>
    </w:rPr>
  </w:style>
  <w:style w:type="character" w:customStyle="1" w:styleId="53">
    <w:name w:val="正文文本缩进 字符"/>
    <w:basedOn w:val="28"/>
    <w:link w:val="13"/>
    <w:autoRedefine/>
    <w:semiHidden/>
    <w:qFormat/>
    <w:uiPriority w:val="99"/>
    <w:rPr>
      <w:rFonts w:ascii="Times New Roman" w:hAnsi="Times New Roman" w:eastAsia="仿宋_GB2312" w:cs="Times New Roman"/>
      <w:sz w:val="32"/>
      <w:szCs w:val="24"/>
    </w:rPr>
  </w:style>
  <w:style w:type="character" w:customStyle="1" w:styleId="54">
    <w:name w:val="正文文本首行缩进 2 字符"/>
    <w:basedOn w:val="53"/>
    <w:link w:val="24"/>
    <w:autoRedefine/>
    <w:qFormat/>
    <w:uiPriority w:val="0"/>
    <w:rPr>
      <w:rFonts w:ascii="Times New Roman" w:hAnsi="Times New Roman" w:eastAsia="仿宋_GB2312" w:cs="Times New Roman"/>
      <w:sz w:val="24"/>
      <w:szCs w:val="20"/>
    </w:rPr>
  </w:style>
  <w:style w:type="paragraph" w:customStyle="1" w:styleId="55">
    <w:name w:val="正文（缩进）"/>
    <w:basedOn w:val="1"/>
    <w:autoRedefine/>
    <w:qFormat/>
    <w:uiPriority w:val="0"/>
    <w:pPr>
      <w:spacing w:before="50" w:after="50"/>
      <w:ind w:firstLine="200" w:firstLineChars="200"/>
    </w:pPr>
    <w:rPr>
      <w:szCs w:val="22"/>
    </w:rPr>
  </w:style>
  <w:style w:type="paragraph" w:customStyle="1" w:styleId="56">
    <w:name w:val="Normal Indent1"/>
    <w:basedOn w:val="1"/>
    <w:autoRedefine/>
    <w:qFormat/>
    <w:uiPriority w:val="0"/>
    <w:pPr>
      <w:adjustRightInd w:val="0"/>
      <w:spacing w:line="360" w:lineRule="atLeast"/>
      <w:ind w:firstLine="420"/>
      <w:textAlignment w:val="baseline"/>
    </w:pPr>
    <w:rPr>
      <w:rFonts w:ascii="Calibri" w:hAnsi="Calibri"/>
      <w:sz w:val="25"/>
      <w:szCs w:val="20"/>
    </w:rPr>
  </w:style>
  <w:style w:type="character" w:customStyle="1" w:styleId="57">
    <w:name w:val="页眉 字符"/>
    <w:basedOn w:val="28"/>
    <w:link w:val="18"/>
    <w:autoRedefine/>
    <w:qFormat/>
    <w:uiPriority w:val="99"/>
    <w:rPr>
      <w:rFonts w:ascii="Times New Roman" w:hAnsi="Times New Roman" w:eastAsia="仿宋_GB2312" w:cs="Times New Roman"/>
      <w:sz w:val="18"/>
      <w:szCs w:val="18"/>
    </w:rPr>
  </w:style>
  <w:style w:type="character" w:customStyle="1" w:styleId="58">
    <w:name w:val="批注文字 字符"/>
    <w:basedOn w:val="28"/>
    <w:link w:val="11"/>
    <w:autoRedefine/>
    <w:qFormat/>
    <w:uiPriority w:val="0"/>
    <w:rPr>
      <w:rFonts w:ascii="Times New Roman" w:hAnsi="Times New Roman" w:eastAsia="仿宋_GB2312" w:cs="Times New Roman"/>
      <w:sz w:val="32"/>
      <w:szCs w:val="24"/>
    </w:rPr>
  </w:style>
  <w:style w:type="character" w:customStyle="1" w:styleId="59">
    <w:name w:val="脚注文本 字符"/>
    <w:basedOn w:val="28"/>
    <w:link w:val="20"/>
    <w:autoRedefine/>
    <w:qFormat/>
    <w:uiPriority w:val="0"/>
    <w:rPr>
      <w:rFonts w:ascii="Times New Roman" w:hAnsi="Times New Roman" w:eastAsia="仿宋_GB2312" w:cs="Times New Roman"/>
      <w:sz w:val="18"/>
      <w:szCs w:val="24"/>
    </w:rPr>
  </w:style>
  <w:style w:type="paragraph" w:customStyle="1" w:styleId="60">
    <w:name w:val="BodyText1I"/>
    <w:basedOn w:val="61"/>
    <w:autoRedefine/>
    <w:qFormat/>
    <w:uiPriority w:val="99"/>
    <w:pPr>
      <w:widowControl/>
      <w:ind w:firstLine="420" w:firstLineChars="100"/>
      <w:jc w:val="left"/>
    </w:pPr>
    <w:rPr>
      <w:rFonts w:ascii="Arial" w:hAnsi="Arial"/>
      <w:kern w:val="0"/>
      <w:sz w:val="20"/>
      <w:szCs w:val="20"/>
      <w:lang w:eastAsia="en-US"/>
    </w:rPr>
  </w:style>
  <w:style w:type="paragraph" w:customStyle="1" w:styleId="61">
    <w:name w:val="BodyText"/>
    <w:basedOn w:val="1"/>
    <w:autoRedefine/>
    <w:qFormat/>
    <w:uiPriority w:val="0"/>
    <w:pPr>
      <w:spacing w:after="120"/>
      <w:textAlignment w:val="baseline"/>
    </w:pPr>
    <w:rPr>
      <w:rFonts w:eastAsia="宋体"/>
    </w:rPr>
  </w:style>
  <w:style w:type="paragraph" w:customStyle="1" w:styleId="62">
    <w:name w:val="Table Text"/>
    <w:basedOn w:val="1"/>
    <w:autoRedefine/>
    <w:semiHidden/>
    <w:qFormat/>
    <w:uiPriority w:val="0"/>
    <w:rPr>
      <w:rFonts w:ascii="宋体" w:hAnsi="宋体" w:eastAsia="宋体" w:cs="宋体"/>
      <w:sz w:val="21"/>
      <w:szCs w:val="21"/>
      <w:lang w:eastAsia="en-US"/>
    </w:rPr>
  </w:style>
  <w:style w:type="table" w:customStyle="1" w:styleId="63">
    <w:name w:val="Table Normal"/>
    <w:autoRedefine/>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663</Words>
  <Characters>3785</Characters>
  <Lines>31</Lines>
  <Paragraphs>8</Paragraphs>
  <TotalTime>241</TotalTime>
  <ScaleCrop>false</ScaleCrop>
  <LinksUpToDate>false</LinksUpToDate>
  <CharactersWithSpaces>4440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2024-07-25T03:28:00Z</dcterms:created>
  <dc:creator>WenLiang Cui</dc:creator>
  <cp:lastModifiedBy>王新磊</cp:lastModifiedBy>
  <dcterms:modified xsi:type="dcterms:W3CDTF">2024-08-16T08:15:44Z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A035B8946FA04CA4A496DDF8F77A17AE_13</vt:lpwstr>
  </property>
</Properties>
</file>