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sz w:val="44"/>
          <w:szCs w:val="44"/>
          <w:highlight w:val="none"/>
        </w:rPr>
      </w:pPr>
      <w:bookmarkStart w:id="0" w:name="_GoBack"/>
      <w:bookmarkEnd w:id="0"/>
      <w:r>
        <w:rPr>
          <w:rFonts w:hint="eastAsia" w:ascii="仿宋" w:hAnsi="仿宋" w:eastAsia="仿宋" w:cs="仿宋"/>
          <w:b/>
          <w:sz w:val="44"/>
          <w:szCs w:val="44"/>
          <w:highlight w:val="none"/>
        </w:rPr>
        <w:t xml:space="preserve">   采购需求（征求意见稿）</w:t>
      </w:r>
    </w:p>
    <w:p>
      <w:pPr>
        <w:numPr>
          <w:ilvl w:val="0"/>
          <w:numId w:val="1"/>
        </w:numPr>
        <w:adjustRightInd w:val="0"/>
        <w:spacing w:line="360" w:lineRule="atLeast"/>
        <w:textAlignment w:val="baseline"/>
        <w:rPr>
          <w:b/>
          <w:sz w:val="24"/>
          <w:highlight w:val="none"/>
        </w:rPr>
      </w:pPr>
      <w:r>
        <w:rPr>
          <w:rFonts w:hint="eastAsia" w:ascii="黑体" w:eastAsia="黑体"/>
          <w:sz w:val="30"/>
          <w:szCs w:val="30"/>
          <w:highlight w:val="none"/>
        </w:rPr>
        <w:t xml:space="preserve"> </w:t>
      </w:r>
      <w:r>
        <w:rPr>
          <w:rFonts w:hint="eastAsia"/>
          <w:b/>
          <w:sz w:val="24"/>
          <w:highlight w:val="none"/>
        </w:rPr>
        <w:t>采购清单</w:t>
      </w:r>
    </w:p>
    <w:tbl>
      <w:tblPr>
        <w:tblStyle w:val="16"/>
        <w:tblpPr w:leftFromText="180" w:rightFromText="180" w:vertAnchor="text" w:horzAnchor="page" w:tblpX="1967" w:tblpY="212"/>
        <w:tblOverlap w:val="never"/>
        <w:tblW w:w="5132" w:type="pct"/>
        <w:tblInd w:w="0" w:type="dxa"/>
        <w:tblLayout w:type="fixed"/>
        <w:tblCellMar>
          <w:top w:w="0" w:type="dxa"/>
          <w:left w:w="108" w:type="dxa"/>
          <w:bottom w:w="0" w:type="dxa"/>
          <w:right w:w="108" w:type="dxa"/>
        </w:tblCellMar>
      </w:tblPr>
      <w:tblGrid>
        <w:gridCol w:w="459"/>
        <w:gridCol w:w="1978"/>
        <w:gridCol w:w="767"/>
        <w:gridCol w:w="913"/>
        <w:gridCol w:w="2264"/>
        <w:gridCol w:w="2366"/>
      </w:tblGrid>
      <w:tr>
        <w:tblPrEx>
          <w:tblCellMar>
            <w:top w:w="0" w:type="dxa"/>
            <w:left w:w="108" w:type="dxa"/>
            <w:bottom w:w="0" w:type="dxa"/>
            <w:right w:w="108" w:type="dxa"/>
          </w:tblCellMar>
        </w:tblPrEx>
        <w:trPr>
          <w:trHeight w:val="579" w:hRule="atLeast"/>
        </w:trPr>
        <w:tc>
          <w:tcPr>
            <w:tcW w:w="459" w:type="dxa"/>
            <w:tcBorders>
              <w:top w:val="single" w:color="auto" w:sz="4" w:space="0"/>
              <w:left w:val="single" w:color="auto" w:sz="4" w:space="0"/>
              <w:bottom w:val="single" w:color="auto" w:sz="4" w:space="0"/>
              <w:right w:val="single" w:color="auto" w:sz="4" w:space="0"/>
            </w:tcBorders>
            <w:shd w:val="pct10" w:color="AEAAAA" w:fill="00B050"/>
            <w:vAlign w:val="center"/>
          </w:tcPr>
          <w:p>
            <w:pPr>
              <w:spacing w:line="360" w:lineRule="auto"/>
              <w:ind w:left="-170" w:leftChars="-53" w:right="-163" w:rightChars="-51"/>
              <w:jc w:val="center"/>
              <w:rPr>
                <w:rFonts w:ascii="宋体" w:hAnsi="宋体" w:cs="宋体"/>
                <w:b/>
                <w:sz w:val="24"/>
                <w:highlight w:val="none"/>
              </w:rPr>
            </w:pPr>
            <w:r>
              <w:rPr>
                <w:rFonts w:hint="eastAsia" w:ascii="宋体" w:hAnsi="宋体" w:cs="宋体"/>
                <w:b/>
                <w:sz w:val="24"/>
                <w:highlight w:val="none"/>
              </w:rPr>
              <w:t>序号</w:t>
            </w:r>
          </w:p>
        </w:tc>
        <w:tc>
          <w:tcPr>
            <w:tcW w:w="1978" w:type="dxa"/>
            <w:tcBorders>
              <w:top w:val="single" w:color="auto" w:sz="4" w:space="0"/>
              <w:left w:val="nil"/>
              <w:bottom w:val="single" w:color="auto" w:sz="4" w:space="0"/>
              <w:right w:val="single" w:color="auto" w:sz="4" w:space="0"/>
            </w:tcBorders>
            <w:shd w:val="pct10" w:color="AEAAAA" w:fill="00B050"/>
            <w:vAlign w:val="center"/>
          </w:tcPr>
          <w:p>
            <w:pPr>
              <w:spacing w:line="360" w:lineRule="auto"/>
              <w:ind w:left="-170" w:leftChars="-53" w:right="-163" w:rightChars="-51"/>
              <w:jc w:val="center"/>
              <w:rPr>
                <w:rFonts w:ascii="宋体" w:hAnsi="宋体" w:cs="宋体"/>
                <w:b/>
                <w:sz w:val="24"/>
                <w:highlight w:val="none"/>
              </w:rPr>
            </w:pPr>
            <w:r>
              <w:rPr>
                <w:rFonts w:hint="eastAsia" w:ascii="宋体" w:hAnsi="宋体" w:cs="宋体"/>
                <w:b/>
                <w:sz w:val="24"/>
                <w:highlight w:val="none"/>
              </w:rPr>
              <w:t>货物或服务名称</w:t>
            </w:r>
          </w:p>
        </w:tc>
        <w:tc>
          <w:tcPr>
            <w:tcW w:w="767" w:type="dxa"/>
            <w:tcBorders>
              <w:top w:val="single" w:color="auto" w:sz="4" w:space="0"/>
              <w:left w:val="nil"/>
              <w:bottom w:val="single" w:color="auto" w:sz="4" w:space="0"/>
              <w:right w:val="single" w:color="auto" w:sz="4" w:space="0"/>
            </w:tcBorders>
            <w:shd w:val="pct10" w:color="AEAAAA" w:fill="00B050"/>
            <w:vAlign w:val="center"/>
          </w:tcPr>
          <w:p>
            <w:pPr>
              <w:spacing w:line="360" w:lineRule="auto"/>
              <w:ind w:left="-170" w:leftChars="-53" w:right="-163" w:rightChars="-51"/>
              <w:jc w:val="center"/>
              <w:rPr>
                <w:rFonts w:ascii="宋体" w:hAnsi="宋体" w:cs="宋体"/>
                <w:b/>
                <w:sz w:val="24"/>
                <w:highlight w:val="none"/>
              </w:rPr>
            </w:pPr>
            <w:r>
              <w:rPr>
                <w:rFonts w:hint="eastAsia" w:ascii="宋体" w:hAnsi="宋体" w:cs="宋体"/>
                <w:b/>
                <w:sz w:val="24"/>
                <w:highlight w:val="none"/>
              </w:rPr>
              <w:t>数量</w:t>
            </w:r>
          </w:p>
        </w:tc>
        <w:tc>
          <w:tcPr>
            <w:tcW w:w="913" w:type="dxa"/>
            <w:tcBorders>
              <w:top w:val="single" w:color="auto" w:sz="4" w:space="0"/>
              <w:left w:val="single" w:color="auto" w:sz="4" w:space="0"/>
              <w:bottom w:val="single" w:color="auto" w:sz="4" w:space="0"/>
              <w:right w:val="single" w:color="auto" w:sz="4" w:space="0"/>
            </w:tcBorders>
            <w:shd w:val="pct10" w:color="AEAAAA" w:fill="00B050"/>
            <w:vAlign w:val="center"/>
          </w:tcPr>
          <w:p>
            <w:pPr>
              <w:spacing w:line="360" w:lineRule="auto"/>
              <w:ind w:left="-170" w:leftChars="-53" w:right="-163" w:rightChars="-51"/>
              <w:jc w:val="center"/>
              <w:rPr>
                <w:rFonts w:ascii="宋体" w:hAnsi="宋体" w:cs="宋体"/>
                <w:b/>
                <w:sz w:val="24"/>
                <w:highlight w:val="none"/>
              </w:rPr>
            </w:pPr>
            <w:r>
              <w:rPr>
                <w:rFonts w:hint="eastAsia" w:ascii="宋体" w:hAnsi="宋体" w:cs="宋体"/>
                <w:b/>
                <w:sz w:val="24"/>
                <w:highlight w:val="none"/>
              </w:rPr>
              <w:t>单位</w:t>
            </w:r>
          </w:p>
        </w:tc>
        <w:tc>
          <w:tcPr>
            <w:tcW w:w="2264" w:type="dxa"/>
            <w:tcBorders>
              <w:top w:val="single" w:color="auto" w:sz="4" w:space="0"/>
              <w:left w:val="nil"/>
              <w:bottom w:val="single" w:color="auto" w:sz="4" w:space="0"/>
              <w:right w:val="single" w:color="auto" w:sz="4" w:space="0"/>
            </w:tcBorders>
            <w:shd w:val="pct10" w:color="AEAAAA" w:fill="00B050"/>
            <w:vAlign w:val="center"/>
          </w:tcPr>
          <w:p>
            <w:pPr>
              <w:spacing w:line="360" w:lineRule="auto"/>
              <w:ind w:left="-170" w:leftChars="-53" w:right="-163" w:rightChars="-51"/>
              <w:jc w:val="center"/>
              <w:rPr>
                <w:rFonts w:ascii="宋体" w:hAnsi="宋体" w:cs="宋体"/>
                <w:b/>
                <w:sz w:val="24"/>
                <w:highlight w:val="none"/>
              </w:rPr>
            </w:pPr>
            <w:r>
              <w:rPr>
                <w:rFonts w:hint="eastAsia" w:ascii="宋体" w:hAnsi="宋体" w:cs="宋体"/>
                <w:b/>
                <w:sz w:val="24"/>
                <w:highlight w:val="none"/>
              </w:rPr>
              <w:t>所属行业</w:t>
            </w:r>
          </w:p>
        </w:tc>
        <w:tc>
          <w:tcPr>
            <w:tcW w:w="2366" w:type="dxa"/>
            <w:tcBorders>
              <w:top w:val="single" w:color="auto" w:sz="4" w:space="0"/>
              <w:left w:val="nil"/>
              <w:bottom w:val="single" w:color="auto" w:sz="4" w:space="0"/>
              <w:right w:val="single" w:color="auto" w:sz="4" w:space="0"/>
            </w:tcBorders>
            <w:shd w:val="pct10" w:color="AEAAAA" w:fill="00B050"/>
            <w:vAlign w:val="center"/>
          </w:tcPr>
          <w:p>
            <w:pPr>
              <w:spacing w:line="360" w:lineRule="auto"/>
              <w:ind w:left="-170" w:leftChars="-53" w:right="-163" w:rightChars="-51"/>
              <w:jc w:val="center"/>
              <w:rPr>
                <w:rFonts w:ascii="宋体" w:hAnsi="宋体" w:cs="宋体"/>
                <w:b/>
                <w:sz w:val="24"/>
                <w:highlight w:val="none"/>
              </w:rPr>
            </w:pPr>
            <w:r>
              <w:rPr>
                <w:rFonts w:hint="eastAsia" w:ascii="宋体" w:hAnsi="宋体" w:cs="宋体"/>
                <w:b/>
                <w:sz w:val="24"/>
                <w:highlight w:val="none"/>
              </w:rPr>
              <w:t>备注（核心产品）</w:t>
            </w:r>
          </w:p>
        </w:tc>
      </w:tr>
      <w:tr>
        <w:tblPrEx>
          <w:tblCellMar>
            <w:top w:w="0" w:type="dxa"/>
            <w:left w:w="108" w:type="dxa"/>
            <w:bottom w:w="0" w:type="dxa"/>
            <w:right w:w="108" w:type="dxa"/>
          </w:tblCellMar>
        </w:tblPrEx>
        <w:trPr>
          <w:trHeight w:val="838" w:hRule="atLeast"/>
        </w:trPr>
        <w:tc>
          <w:tcPr>
            <w:tcW w:w="459"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1</w:t>
            </w:r>
          </w:p>
        </w:tc>
        <w:tc>
          <w:tcPr>
            <w:tcW w:w="1978" w:type="dxa"/>
            <w:tcBorders>
              <w:top w:val="single" w:color="auto" w:sz="4" w:space="0"/>
              <w:bottom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2024年容东片区、启动区开办学校功能教室及日杂设备采购项目</w:t>
            </w:r>
          </w:p>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001包功能教室设备</w:t>
            </w:r>
          </w:p>
        </w:tc>
        <w:tc>
          <w:tcPr>
            <w:tcW w:w="767"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1</w:t>
            </w:r>
          </w:p>
        </w:tc>
        <w:tc>
          <w:tcPr>
            <w:tcW w:w="913"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批</w:t>
            </w:r>
          </w:p>
        </w:tc>
        <w:tc>
          <w:tcPr>
            <w:tcW w:w="2264"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工业</w:t>
            </w:r>
          </w:p>
        </w:tc>
        <w:tc>
          <w:tcPr>
            <w:tcW w:w="2366"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学生实验台（水道实验台）</w:t>
            </w:r>
          </w:p>
        </w:tc>
      </w:tr>
      <w:tr>
        <w:tblPrEx>
          <w:tblCellMar>
            <w:top w:w="0" w:type="dxa"/>
            <w:left w:w="108" w:type="dxa"/>
            <w:bottom w:w="0" w:type="dxa"/>
            <w:right w:w="108" w:type="dxa"/>
          </w:tblCellMar>
        </w:tblPrEx>
        <w:trPr>
          <w:trHeight w:val="838" w:hRule="atLeast"/>
        </w:trPr>
        <w:tc>
          <w:tcPr>
            <w:tcW w:w="459"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2</w:t>
            </w:r>
          </w:p>
        </w:tc>
        <w:tc>
          <w:tcPr>
            <w:tcW w:w="1978" w:type="dxa"/>
            <w:tcBorders>
              <w:top w:val="single" w:color="auto" w:sz="4" w:space="0"/>
              <w:bottom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2024年容东片区、启动区开办学校功能教室及日杂设备采购项目</w:t>
            </w:r>
          </w:p>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002包日杂及保安设备</w:t>
            </w:r>
          </w:p>
        </w:tc>
        <w:tc>
          <w:tcPr>
            <w:tcW w:w="767"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1</w:t>
            </w:r>
          </w:p>
        </w:tc>
        <w:tc>
          <w:tcPr>
            <w:tcW w:w="913"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批</w:t>
            </w:r>
          </w:p>
        </w:tc>
        <w:tc>
          <w:tcPr>
            <w:tcW w:w="2264"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工业</w:t>
            </w:r>
          </w:p>
        </w:tc>
        <w:tc>
          <w:tcPr>
            <w:tcW w:w="2366" w:type="dxa"/>
            <w:tcBorders>
              <w:top w:val="single" w:color="auto" w:sz="4" w:space="0"/>
              <w:left w:val="single" w:color="auto" w:sz="4" w:space="0"/>
              <w:bottom w:val="single" w:color="auto" w:sz="4" w:space="0"/>
              <w:right w:val="single" w:color="auto" w:sz="4" w:space="0"/>
            </w:tcBorders>
            <w:vAlign w:val="center"/>
          </w:tcPr>
          <w:p>
            <w:pPr>
              <w:widowControl/>
              <w:tabs>
                <w:tab w:val="left" w:pos="33"/>
              </w:tabs>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窗帘及窗帘轨道或滑杆</w:t>
            </w:r>
          </w:p>
        </w:tc>
      </w:tr>
    </w:tbl>
    <w:p>
      <w:pPr>
        <w:adjustRightInd w:val="0"/>
        <w:spacing w:line="360" w:lineRule="auto"/>
        <w:ind w:firstLine="482" w:firstLineChars="200"/>
        <w:textAlignment w:val="baseline"/>
        <w:rPr>
          <w:rFonts w:ascii="宋体" w:hAnsi="宋体" w:cs="宋体"/>
          <w:b/>
          <w:sz w:val="24"/>
          <w:highlight w:val="none"/>
        </w:rPr>
      </w:pPr>
      <w:r>
        <w:rPr>
          <w:rFonts w:hint="eastAsia" w:ascii="宋体" w:hAnsi="宋体" w:cs="宋体"/>
          <w:b/>
          <w:sz w:val="24"/>
          <w:highlight w:val="none"/>
        </w:rPr>
        <w:t>二、项目背景或概况</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2024年容东片区、启动区7所新建学校——金源幼儿园、华望城幼儿园、华望城小学、金湖未来城幼儿园、招商幼儿园、中冶幼儿园、创新坊小学将投入使用。本项目是为以上学校采购开办功能教室及日杂设备，001包为功能教室设备采购，包括幼儿园保健隔离室、图书室等4类功能教室和小学科学实验室、美术专用教室、舞蹈教室等12类功能教室；002包为日杂及保安设备采购。项目实施后，能够保障以上学校正常开学开园。</w:t>
      </w:r>
    </w:p>
    <w:p>
      <w:pPr>
        <w:adjustRightInd w:val="0"/>
        <w:spacing w:line="360" w:lineRule="auto"/>
        <w:ind w:firstLine="482" w:firstLineChars="200"/>
        <w:textAlignment w:val="baseline"/>
        <w:rPr>
          <w:rFonts w:hint="eastAsia" w:ascii="宋体" w:hAnsi="宋体" w:cs="宋体"/>
          <w:b/>
          <w:sz w:val="24"/>
          <w:highlight w:val="none"/>
        </w:rPr>
      </w:pPr>
      <w:r>
        <w:rPr>
          <w:rFonts w:hint="eastAsia" w:ascii="宋体" w:hAnsi="宋体" w:cs="宋体"/>
          <w:b/>
          <w:sz w:val="24"/>
          <w:highlight w:val="none"/>
        </w:rPr>
        <w:t>三、拟采购标的的技术要求</w:t>
      </w:r>
    </w:p>
    <w:p>
      <w:pPr>
        <w:spacing w:line="360" w:lineRule="auto"/>
        <w:ind w:left="1440" w:leftChars="225" w:hanging="720" w:hangingChars="300"/>
        <w:rPr>
          <w:rFonts w:ascii="宋体" w:hAnsi="宋体" w:cs="宋体"/>
          <w:sz w:val="24"/>
          <w:highlight w:val="none"/>
        </w:rPr>
      </w:pPr>
      <w:r>
        <w:rPr>
          <w:rFonts w:hint="eastAsia" w:ascii="宋体" w:hAnsi="宋体" w:cs="宋体"/>
          <w:sz w:val="24"/>
          <w:highlight w:val="none"/>
        </w:rPr>
        <w:t>（一）采购标的需执行的国家相关标准、行业标准、地方标准或者其他标准、规范</w:t>
      </w:r>
    </w:p>
    <w:tbl>
      <w:tblPr>
        <w:tblStyle w:val="16"/>
        <w:tblW w:w="8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5865"/>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Header/>
        </w:trPr>
        <w:tc>
          <w:tcPr>
            <w:tcW w:w="705" w:type="dxa"/>
            <w:shd w:val="pct10" w:color="FFFFFF" w:fill="00B050"/>
            <w:vAlign w:val="center"/>
          </w:tcPr>
          <w:p>
            <w:pPr>
              <w:spacing w:line="360" w:lineRule="auto"/>
              <w:ind w:left="-170" w:leftChars="-53" w:right="-163" w:rightChars="-51"/>
              <w:jc w:val="center"/>
              <w:rPr>
                <w:rFonts w:ascii="宋体" w:hAnsi="宋体" w:cs="宋体"/>
                <w:b/>
                <w:sz w:val="24"/>
                <w:highlight w:val="none"/>
              </w:rPr>
            </w:pPr>
            <w:r>
              <w:rPr>
                <w:rFonts w:hint="eastAsia" w:ascii="宋体" w:hAnsi="宋体" w:cs="宋体"/>
                <w:b/>
                <w:sz w:val="24"/>
                <w:highlight w:val="none"/>
              </w:rPr>
              <w:t>序号</w:t>
            </w:r>
          </w:p>
        </w:tc>
        <w:tc>
          <w:tcPr>
            <w:tcW w:w="5865" w:type="dxa"/>
            <w:shd w:val="pct10" w:color="FFFFFF" w:fill="00B050"/>
            <w:vAlign w:val="center"/>
          </w:tcPr>
          <w:p>
            <w:pPr>
              <w:spacing w:line="360" w:lineRule="auto"/>
              <w:ind w:left="-106" w:leftChars="-33" w:right="-96" w:rightChars="-30"/>
              <w:jc w:val="center"/>
              <w:rPr>
                <w:rFonts w:ascii="宋体" w:hAnsi="宋体" w:cs="宋体"/>
                <w:b/>
                <w:sz w:val="24"/>
                <w:highlight w:val="none"/>
              </w:rPr>
            </w:pPr>
            <w:r>
              <w:rPr>
                <w:rFonts w:hint="eastAsia" w:ascii="宋体" w:hAnsi="宋体" w:cs="宋体"/>
                <w:b/>
                <w:sz w:val="24"/>
                <w:highlight w:val="none"/>
              </w:rPr>
              <w:t>名称</w:t>
            </w:r>
          </w:p>
        </w:tc>
        <w:tc>
          <w:tcPr>
            <w:tcW w:w="2262" w:type="dxa"/>
            <w:shd w:val="pct10" w:color="FFFFFF" w:fill="00B050"/>
            <w:vAlign w:val="center"/>
          </w:tcPr>
          <w:p>
            <w:pPr>
              <w:spacing w:line="360" w:lineRule="auto"/>
              <w:ind w:left="-106" w:leftChars="-33" w:right="-96" w:rightChars="-30"/>
              <w:jc w:val="center"/>
              <w:rPr>
                <w:rFonts w:ascii="宋体" w:hAnsi="宋体" w:cs="宋体"/>
                <w:b/>
                <w:sz w:val="24"/>
                <w:highlight w:val="none"/>
              </w:rPr>
            </w:pPr>
            <w:r>
              <w:rPr>
                <w:rFonts w:hint="eastAsia" w:ascii="宋体" w:hAnsi="宋体" w:cs="宋体"/>
                <w:b/>
                <w:sz w:val="24"/>
                <w:highlight w:val="none"/>
              </w:rPr>
              <w:t>标号或文号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pacing w:line="360" w:lineRule="auto"/>
              <w:jc w:val="center"/>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1</w:t>
            </w:r>
          </w:p>
        </w:tc>
        <w:tc>
          <w:tcPr>
            <w:tcW w:w="5865" w:type="dxa"/>
            <w:vAlign w:val="center"/>
          </w:tcPr>
          <w:p>
            <w:pPr>
              <w:spacing w:line="360" w:lineRule="auto"/>
              <w:jc w:val="center"/>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教学实验室设备 实验台(桌)的安全要求及试验方法</w:t>
            </w:r>
          </w:p>
        </w:tc>
        <w:tc>
          <w:tcPr>
            <w:tcW w:w="2262" w:type="dxa"/>
            <w:vAlign w:val="center"/>
          </w:tcPr>
          <w:p>
            <w:pPr>
              <w:spacing w:line="360" w:lineRule="auto"/>
              <w:jc w:val="center"/>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GB/T 21747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pacing w:line="360" w:lineRule="auto"/>
              <w:jc w:val="center"/>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2</w:t>
            </w:r>
          </w:p>
        </w:tc>
        <w:tc>
          <w:tcPr>
            <w:tcW w:w="5865" w:type="dxa"/>
            <w:vAlign w:val="center"/>
          </w:tcPr>
          <w:p>
            <w:pPr>
              <w:spacing w:line="360" w:lineRule="auto"/>
              <w:jc w:val="center"/>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婴幼儿及儿童纺织产品安全技术规范</w:t>
            </w:r>
          </w:p>
        </w:tc>
        <w:tc>
          <w:tcPr>
            <w:tcW w:w="2262" w:type="dxa"/>
            <w:vAlign w:val="center"/>
          </w:tcPr>
          <w:p>
            <w:pPr>
              <w:spacing w:line="360" w:lineRule="auto"/>
              <w:jc w:val="center"/>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GB 31701</w:t>
            </w:r>
          </w:p>
        </w:tc>
      </w:tr>
    </w:tbl>
    <w:p>
      <w:pPr>
        <w:numPr>
          <w:ilvl w:val="0"/>
          <w:numId w:val="2"/>
        </w:numPr>
        <w:spacing w:line="360" w:lineRule="auto"/>
        <w:ind w:firstLine="720" w:firstLineChars="300"/>
        <w:rPr>
          <w:rFonts w:ascii="宋体" w:hAnsi="宋体" w:cs="宋体"/>
          <w:sz w:val="24"/>
          <w:highlight w:val="none"/>
        </w:rPr>
      </w:pPr>
      <w:r>
        <w:rPr>
          <w:sz w:val="24"/>
          <w:highlight w:val="none"/>
        </w:rPr>
        <w:t>货物技术</w:t>
      </w:r>
      <w:r>
        <w:rPr>
          <w:rFonts w:hint="eastAsia" w:ascii="宋体" w:hAnsi="宋体" w:cs="宋体"/>
          <w:sz w:val="24"/>
          <w:highlight w:val="none"/>
        </w:rPr>
        <w:t>要求（产品图片仅供参考）</w:t>
      </w:r>
    </w:p>
    <w:p>
      <w:pPr>
        <w:spacing w:line="360" w:lineRule="auto"/>
        <w:ind w:left="1440" w:leftChars="225" w:hanging="720" w:hangingChars="300"/>
        <w:rPr>
          <w:rFonts w:ascii="宋体" w:hAnsi="宋体" w:cs="宋体"/>
          <w:sz w:val="24"/>
          <w:highlight w:val="none"/>
        </w:rPr>
      </w:pPr>
      <w:r>
        <w:rPr>
          <w:rFonts w:hint="eastAsia" w:ascii="宋体" w:hAnsi="宋体" w:cs="宋体"/>
          <w:sz w:val="24"/>
          <w:highlight w:val="none"/>
        </w:rPr>
        <w:t>001包：</w:t>
      </w:r>
      <w:r>
        <w:rPr>
          <w:rFonts w:hint="eastAsia" w:ascii="宋体" w:hAnsi="宋体" w:eastAsia="宋体" w:cs="宋体"/>
          <w:sz w:val="24"/>
          <w:highlight w:val="none"/>
        </w:rPr>
        <w:t>功能教室设备</w:t>
      </w:r>
    </w:p>
    <w:p>
      <w:pPr>
        <w:spacing w:line="360" w:lineRule="auto"/>
        <w:ind w:left="1440" w:leftChars="225" w:hanging="720" w:hangingChars="300"/>
        <w:rPr>
          <w:rFonts w:ascii="宋体" w:hAnsi="宋体" w:cs="宋体"/>
          <w:sz w:val="24"/>
          <w:highlight w:val="none"/>
        </w:rPr>
      </w:pPr>
      <w:r>
        <w:rPr>
          <w:rFonts w:hint="eastAsia" w:ascii="宋体" w:hAnsi="宋体" w:cs="宋体"/>
          <w:sz w:val="24"/>
          <w:highlight w:val="none"/>
        </w:rPr>
        <w:t>第一部分：幼儿园功能教室设备（数量为金源幼儿园、华望城幼儿园、金湖未来城幼儿园、招商幼儿园、中冶幼儿园所需数量的和）</w:t>
      </w:r>
    </w:p>
    <w:tbl>
      <w:tblPr>
        <w:tblStyle w:val="16"/>
        <w:tblW w:w="5000" w:type="pct"/>
        <w:tblInd w:w="0" w:type="dxa"/>
        <w:shd w:val="clear" w:color="auto" w:fill="FFFFFF" w:themeFill="background1"/>
        <w:tblLayout w:type="fixed"/>
        <w:tblCellMar>
          <w:top w:w="0" w:type="dxa"/>
          <w:left w:w="108" w:type="dxa"/>
          <w:bottom w:w="0" w:type="dxa"/>
          <w:right w:w="108" w:type="dxa"/>
        </w:tblCellMar>
      </w:tblPr>
      <w:tblGrid>
        <w:gridCol w:w="504"/>
        <w:gridCol w:w="1164"/>
        <w:gridCol w:w="5386"/>
        <w:gridCol w:w="747"/>
        <w:gridCol w:w="721"/>
      </w:tblGrid>
      <w:tr>
        <w:tblPrEx>
          <w:shd w:val="clear" w:color="auto" w:fill="FFFFFF" w:themeFill="background1"/>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序号</w:t>
            </w:r>
          </w:p>
        </w:tc>
        <w:tc>
          <w:tcPr>
            <w:tcW w:w="683"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产品名称</w:t>
            </w:r>
          </w:p>
        </w:tc>
        <w:tc>
          <w:tcPr>
            <w:tcW w:w="3160"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参数</w:t>
            </w:r>
          </w:p>
        </w:tc>
        <w:tc>
          <w:tcPr>
            <w:tcW w:w="438"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单位</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数量</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b/>
                <w:bCs/>
                <w:color w:val="auto"/>
                <w:sz w:val="22"/>
                <w:szCs w:val="22"/>
                <w:highlight w:val="none"/>
              </w:rPr>
            </w:pPr>
          </w:p>
        </w:tc>
        <w:tc>
          <w:tcPr>
            <w:tcW w:w="68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b/>
                <w:bCs/>
                <w:color w:val="auto"/>
                <w:sz w:val="22"/>
                <w:szCs w:val="22"/>
                <w:highlight w:val="none"/>
              </w:rPr>
            </w:pPr>
          </w:p>
        </w:tc>
        <w:tc>
          <w:tcPr>
            <w:tcW w:w="3160"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b/>
                <w:bCs/>
                <w:color w:val="auto"/>
                <w:sz w:val="22"/>
                <w:szCs w:val="22"/>
                <w:highlight w:val="none"/>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b/>
                <w:bCs/>
                <w:color w:val="auto"/>
                <w:sz w:val="22"/>
                <w:szCs w:val="22"/>
                <w:highlight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b/>
                <w:bCs/>
                <w:color w:val="auto"/>
                <w:sz w:val="22"/>
                <w:szCs w:val="22"/>
                <w:highlight w:val="none"/>
              </w:rPr>
            </w:pPr>
          </w:p>
        </w:tc>
      </w:tr>
      <w:tr>
        <w:tblPrEx>
          <w:shd w:val="clear" w:color="auto" w:fill="FFFFFF" w:themeFill="background1"/>
          <w:tblCellMar>
            <w:top w:w="0" w:type="dxa"/>
            <w:left w:w="108" w:type="dxa"/>
            <w:bottom w:w="0" w:type="dxa"/>
            <w:right w:w="108" w:type="dxa"/>
          </w:tblCellMar>
        </w:tblPrEx>
        <w:trPr>
          <w:trHeight w:val="567"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Cs w:val="32"/>
                <w:highlight w:val="none"/>
              </w:rPr>
            </w:pPr>
            <w:r>
              <w:rPr>
                <w:rFonts w:hint="eastAsia" w:ascii="宋体" w:hAnsi="宋体" w:eastAsia="宋体" w:cs="宋体"/>
                <w:b/>
                <w:bCs/>
                <w:color w:val="auto"/>
                <w:kern w:val="0"/>
                <w:szCs w:val="32"/>
                <w:highlight w:val="none"/>
                <w:lang w:bidi="ar"/>
              </w:rPr>
              <w:t>1、保健隔离室</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血压仪</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上臂式电子血压仪，含标准臂带、空气管和电源适配器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测量方式：示波测量法，记忆组数：90组</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测量范围压力范围：0mmHg-299mmHg 测量精度血压：±3mmHg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显示方式：数字式显示方式</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无操作后30秒自动关机，智能控制气泵自动加压、自动快速泄气</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儿童血压仪</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上臂式电子血压仪，含儿童臂带、空气管和电源适配器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测量方式：示波测量法，记忆组数：90组</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测量范围压力范围：0~20kPa(0~150mHg） 测量精度血压：±3mmHg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显示方式：数字式显示方式</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无操作后30秒自动关机，智能控制气泵自动加压、自动快速泄气</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肺活量计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材质：橡胶管、不锈钢外筒、ABS工程塑料内筒</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规格：5.5L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可以用浮筒法和直排法测量肺活量</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显示方式：数字式显示方式</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听诊器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材质：PVC乳胶</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所含部件：听诊头、导音管、耳挂、防冷圈、耳塞组合规格：两用听诊器；供听诊人体心、肺器官等活动声响变化用和高音频杂音</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视力灯箱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国际标准视力图.30W灯管</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材质：优质ABS、高强度铝合金</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规格：灯箱尺寸93*28.5*6cm屏幕尺寸85*20.5cm 正常工作电压：150-260V</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采用后照法解决光线强度问题，采用高强度铝合金作箱体框架，视表板选用有机玻璃，造型美观；遥控，亮度可调；不锈钢挂环无孔壁装</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氧气瓶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规格：10L氧气瓶、高度79cm 直 径 ：15.2cm 重量：14KG，含氧气表、推车、面罩、吸氧管</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特点：1.钢结构氧气表接口与钢制阀门无缝对接，防止漏气。2.滑轮小推车耐用方便的圆轮移动起来更方便3.固定钢圈将圈上的螺丝拧开固定到杆上再将螺丝拧开。4.固定底座将杆对准底座上的两个孔将螺丝从底座的底部拧上将其固定5.大容量加湿器湿润氧气吸入更舒适6.医用氧气标识与其他类别的氧气瓶</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氧气袋</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材质：塑料</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规格：42L，50*27*32cm 净重：0.37Kg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氧气袋内的压缩空气压力须小于10.6KPA，超过10.6KPA会影响氧气袋的使用寿命，造成氧气袋破裂。使用时将输氧管浸入到盛水的杯子中并缓慢松开夹头，观察气泡连续派出为宜</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卫生箱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材质：铝合金、中纤板尺寸：35*19*22cm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可用于出诊或户外救助。分层、分隔设计托盘可独立取出，配</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有安全锁，开合方便、防止儿童误食</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体温计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材质：玻璃水银体温计最高测量体温：42℃</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使用前用75°酒精消毒，并将水银柱甩到35.5℃常人腋下温度</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为30-37℃，口腔温度比腋下高0.2-0.4度，直肠温度比口腔温度高0.3-0.5℃</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儿童测量需在成人的监护下进行，防止水银中毒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盒（10根）</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耳温枪</w:t>
            </w:r>
          </w:p>
          <w:p>
            <w:pPr>
              <w:widowControl/>
              <w:jc w:val="center"/>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drawing>
                <wp:inline distT="0" distB="0" distL="114300" distR="114300">
                  <wp:extent cx="344805" cy="628015"/>
                  <wp:effectExtent l="0" t="0" r="5715" b="12065"/>
                  <wp:docPr id="1" name="图片 1" descr="037e17afc0f2fe43571cd7c91a38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7e17afc0f2fe43571cd7c91a385db"/>
                          <pic:cNvPicPr>
                            <a:picLocks noChangeAspect="1"/>
                          </pic:cNvPicPr>
                        </pic:nvPicPr>
                        <pic:blipFill>
                          <a:blip r:embed="rId4"/>
                          <a:stretch>
                            <a:fillRect/>
                          </a:stretch>
                        </pic:blipFill>
                        <pic:spPr>
                          <a:xfrm>
                            <a:off x="0" y="0"/>
                            <a:ext cx="344805" cy="628015"/>
                          </a:xfrm>
                          <a:prstGeom prst="rect">
                            <a:avLst/>
                          </a:prstGeom>
                        </pic:spPr>
                      </pic:pic>
                    </a:graphicData>
                  </a:graphic>
                </wp:inline>
              </w:drawing>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1.一机多测，精准0.1°C。</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三色背光，大屏显示。</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额温枪</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测量范围：前额测量模式0°C~50°C，表面测量模式- 22°C~80°C</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尺寸：14.1*8.3*3.9cm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精度：±0.2℃/0.4℉</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温度单位：摄氏度、华氏度自动关机时间：20秒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个（一个备用）</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止血钳</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材质：优质不锈钢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产品款式：内含直头一把和弯头一把产品尺寸：18cm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储存方式：阴凉干燥无腐蚀处</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采用安全不锈钢材质，安全耐用。自由调节闭合度使用简单安全。本品灭菌后使用，止血钳用途广泛，轻巧灵便</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医用镊子</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材质：304不锈钢防</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产品尺寸：一套12个（6个弯头、6个直头）</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升级款304不锈钢加厚款，加垫片，使用手感好、不易变形。表面条纹防滑，适用于药品加持取用，弯头直头两个款式轻松夹取物品</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医用剪刀</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材质：304不锈钢防</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产品尺寸：一套12个（6个弯头、6个直头）</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采用不锈钢材质，耐腐蚀。手柄设计圆润细腻，符合手持感， 无毛刺，无菱角。刃口锋利，无镀层，不卷刀</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止血带</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材质：天然橡胶</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口径：6*9mm 颜色：黄色</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乳胶管止血带弹性好、拉力好，不易断裂。用于倒液、医用止血，也可用于止血绑带用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带盖方盘</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材质：304不锈钢规格：24*16*5cm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防碘伏材质具有优良的不锈耐腐蚀性能和较好的抗晶间腐蚀性能，用于换药消毒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贮槽</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材质：304不锈钢 尺寸 ：20*14.5cm </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三角巾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材质：加厚无纺布规格：96*96*136cm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包装：自封袋独立包装重量：约15g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特点：医用三角绷带由无纺布经裁切、折叠而成，供医疗机构临床包扎用或急救处理使用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压舌板</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材质：一次性木制压舌板</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规格：长*大头宽*小头宽(20支/盒） 16*1.8*1cm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用途：口腔检查保健、纹身操作、涂抹板等，光滑无毛刺</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冲眼壶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尺寸：高约12cm,壶底直径7.2cm 容量：280ml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采用优质不锈钢材质制作而成，抛光细腻，防腐蚀性强</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用于清洗眼部异物</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口镜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材质：食品级不锈钢材质尺寸：16cm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重量：20克</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用途：用于牙科口镜头、牙医工具，镜片光洁，边缘倒角均匀，无锋棱毛刺等现象</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额镜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材质：304不锈钢规格：直径8*2cm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固定方式：自贴扣固定</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使用方法：</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在额镜附有光源，对光方便，多用于手术中</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适合医院及诊所鼻腔、口腔、耳道检查</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一次性枕套</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颜色：蓝色</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规格：40*60cm</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性能：柔软、无刺激、卫生</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主要材质：无纺布+PE覆膜双层结构</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150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95250" cy="9525"/>
                  <wp:effectExtent l="0" t="0" r="0" b="0"/>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5"/>
                          <a:stretch>
                            <a:fillRect/>
                          </a:stretch>
                        </pic:blipFill>
                        <pic:spPr>
                          <a:xfrm>
                            <a:off x="0" y="0"/>
                            <a:ext cx="95250" cy="9525"/>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器械台（晨检工作台）</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材质：不锈钢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规格：66*44*86cm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坚固耐用、易清洗不变形。加厚设计，静音防滑锁轮，边角打磨设计不割伤不刮伤。</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便于幼儿园晨检工作</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身高体重秤</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材质：铝合金、环保塑料</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规格：身高量程72-205cm 称重范围0.2-205kg 分度值：0.1cm/50g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usb充电，LED显示屏幕</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可用于测量人体身高及体重，适用于学校及各类体检</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医用紫外线灯消毒车</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#灯管功率：30W*2 灯管数量：2支，894mm，灯臂0-180°调节</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建议使用面积：≥40㎡</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电源电压：220V±10%</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电源频率：50HZ±10% 紫外线主波长253.7nm 带定时装置0-120分钟</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落地蛇形灯</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材质：不锈钢底座带滑轮+反光灯电源电压：220V±22V,50Hz±1Hz ，≤200W；环境温度：0℃-40℃</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该产品由底座、固定支撑套管、升降杆可调节1.3-1.7m、紧固件连接而成。为落地式照明灯，解决多种角度的照明需要。</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紫外线消毒柜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#材质：不锈钢层架、钢化玻璃门  参考规格：48*38*124cm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消毒时间：0-60min可调 功率：400W</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采用高强度紫外线及臭氧消毒杀菌，对消毒柜内置物品表面及空气进行消毒。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综合急救箱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材质：加厚型铝合金</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#规格：箱体尺寸48*30*15cm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铝合金结构，双层，内饰是布材质的，应存放于干燥、无腐蚀性气体和通风良好的室内。</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内含常见药品（纱布、胶带、药棉、创口贴、剪刀、止血带、钳子、体温计、听诊器、酒精、红贡、蓝贡、温乃近、肚泻药等），注意检查药品时效，防止小孩接触。</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污物箱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材质：PP原料、聚乙烯规格：20L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开合方式：密封袋盖结构、脚踏医疗垃圾桶</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密封防臭阻止异味、一脚开盖一脚关盖，筒身加用料更结实耐用。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高温高压消毒锅</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材质：不锈钢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产品容积：18L 内胆规格：240*140 额定压力：0.22Mpa</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额定电压：220V</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额定温度：126-128°</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手提式防干烧，耐酸碱、耐腐蚀、易清理，高温消毒专用器皿。起闭压力0.14Mpa～0.165Mpa.能自行排汽并关闭，带安全阀能自行排汽并关闭，带安全阀。</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五官检查器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材质：不锈钢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外包装盒尺寸：23.8*14.7*5.4cm 产品清单：</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 xml:space="preserve">压舌板卡套 1个备用灯泡1个喉镜杆+灯1个反光喉镜2个窥耳器3 个9cm检眼镜头1个窥鼻器1个检查座架1个电筒手柄 1个  </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口腔检查器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口腔检查器材质：金属套装</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内有口镜、口镜盒、口腔镊、双头探针、镰形清洁器、牙渍剔除器、舌苔清洁器、手动磨牙器、牙锉、工具盒等，保证诊疗时增加照明、扩大被检部位、推压舌体、消毒用于辅助口腔检查及诊疗</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口腔检查器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口腔检查器材质：一次性塑料套装</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规格：27*17*16cm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内有口镜、口腔镊、探针、托盘、棉签、围巾等一次性耗材，用于辅助口腔检查及诊疗</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量杯</w:t>
            </w:r>
          </w:p>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drawing>
                <wp:inline distT="0" distB="0" distL="114300" distR="114300">
                  <wp:extent cx="603885" cy="690880"/>
                  <wp:effectExtent l="0" t="0" r="5715" b="10160"/>
                  <wp:docPr id="2" name="图片 2" descr="c0dd5bb54f5bcd2a3d4f14695cb6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0dd5bb54f5bcd2a3d4f14695cb6bb0"/>
                          <pic:cNvPicPr>
                            <a:picLocks noChangeAspect="1"/>
                          </pic:cNvPicPr>
                        </pic:nvPicPr>
                        <pic:blipFill>
                          <a:blip r:embed="rId6"/>
                          <a:stretch>
                            <a:fillRect/>
                          </a:stretch>
                        </pic:blipFill>
                        <pic:spPr>
                          <a:xfrm>
                            <a:off x="0" y="0"/>
                            <a:ext cx="603885" cy="690880"/>
                          </a:xfrm>
                          <a:prstGeom prst="rect">
                            <a:avLst/>
                          </a:prstGeom>
                        </pic:spPr>
                      </pic:pic>
                    </a:graphicData>
                  </a:graphic>
                </wp:inline>
              </w:drawing>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材质：PP</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规格：2</w:t>
            </w:r>
            <w:r>
              <w:rPr>
                <w:rFonts w:ascii="宋体" w:hAnsi="宋体" w:eastAsia="宋体" w:cs="宋体"/>
                <w:color w:val="auto"/>
                <w:kern w:val="0"/>
                <w:sz w:val="20"/>
                <w:szCs w:val="20"/>
                <w:highlight w:val="none"/>
                <w:lang w:bidi="ar"/>
              </w:rPr>
              <w:t>000ml</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辩色图谱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全图能对红、黄、绿、蓝、紫色觉进行全面检查并对红绿、蓝紫色弱做重中轻三分类，对色视觉检查可达定性和半定量标准。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用于识别颜色的特性，检测视器官和色觉功能，对于色觉障碍的检测</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一次性床罩</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颜色：蓝色</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规格：100*200cm</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性能：柔软、无刺激、卫生</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主要材质：无纺布+PE覆膜双层结构</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放大镜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放大镜</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材质：玻璃镜片，塑料手柄</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规格：镜片直径100mm，总长228mm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光学白玻璃镜片，防滑，手感好，握持方便，不易脱落</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用途：用于放大被检部位，方便观察操作</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测量尺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材质：PP塑料</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尺寸：1.1*150cm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制式标准：厘米制、市尺</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按国际比例尺寸刻制，结果准确、刻度清晰。采用PP材质，耐磨耐损，可任意弯曲、轻便小巧、易于收纳</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双光源医用手电筒</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尺寸：13*130mm左右</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重量：20克左右材质：不锈钢 射程：50米以下</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灯光：白色、黄色</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采用USB快速充电设计，搭配磁吸尾盖，精美造型设计，高端大气，迷你小巧，携带方便。</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适于耳鼻喉科及眼科检查</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秒表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尺寸：8*6*2cm 颜色：黑色</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材质：塑料</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时间、日历显示、定时闹钟，超大屏幕显示，附带指南针功能，容易更换电池（使用G13纽扣电池）</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用于测量时间计时用；分辨率 0.01s，10min，测量精度不大于 0.2s</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无菌纱布敷料</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尺寸：10*8cm，每层纱布折叠8层包装规格：10片/包</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纱织密度：21*32S</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原料为脱脂纱布，采用折叠或缝制的方式制成。经环氧乙烷灭菌，产品无菌</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用于包扎伤口</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量筒</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材质：塑料</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规格：25mL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底部凹槽设计，方便摆放，新型导流口设计，防止液体侧漏用于测量液体质量</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晨检袋</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材质：帆布</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尺寸：36格</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整体尺寸：35*42cm（不含挂绳高度） 小口袋尺寸：4*3.5cm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帆布晨检插卡展示袋，棉麻材质好打理，收纳防水方便快捷。</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用于盛放分拣晨检牌</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晨检牌</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材质：环保亚克力卡片大小：4*2cm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绿色200片（绿色代表健康）、黄色100片（黄色代表多喝水）、红色50片（红色代表要吃药）</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优质材质，耐用环保，卡片做工精致</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用于早上入园的常规检查</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脱脂棉球</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包装规格：50g/包单个规格：0.3g/粒</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储存条件：干燥通风、无腐蚀性气体的环境中，远离火源及易燃物。</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分量足，吸液性号</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用于伤口清创处理</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晨检器材消毒桶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材质：PP塑料容积：3L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由共聚类聚丙烯注塑而成，无毒性且无任何气味的透明桶带提手。</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用于晨检器材及用品的用品的日常消毒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消毒毛巾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材质：80%棉+20%涤</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克重：120g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尺寸：35cm*75cm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不建议使用洗衣机机洗，使用中性洗涤剂，不能长时间浸泡，不能混洗</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用于热敷或冷敷使用。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条</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医用胶带</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品规格：1*1000cm 包装规格：10卷/盒</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注意事项：使用前现将皮肤清洁擦干以免影响粘度，可任意撕拉</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贮藏：避光，密封置阴凉干燥处。</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用于对创面敷料，绷带等提供黏贴力，起到固定作用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盒</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84消毒液</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有效成分：次氯酸钠规格：500ml/瓶</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有效期：12个月</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有效氯含量：4.5%-5.0%</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注意事项：放置于阴凉、干燥、通风处保存，开封后应尽快使用，用于一般物体表面及污物消毒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瓶</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75°酒精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主要成分：乙醇。有效成分含量70%-80% 剂型：液体  规格：500ml/瓶</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注意事项：外用消毒液，不得口服。本品易燃，远离火源。避光至于阴凉、干燥、通风处保存</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使用方法：原液使用，涂擦货擦洗作用1分钟</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适用于完整皮肤消毒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瓶</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碘伏</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主要成分：以碘为主要成分的消毒液，有效含碘量为4.5g/L- 5.5g/L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规格：100ml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剂型：液体</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便携带更方便，密封性好</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适用范围：适用于皮肤、手、创伤口消毒等</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瓶</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灭菌棉签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产品材质：竹棒、脱脂棉包装材料：PE袋</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规格：50支/包，长度测量：9-10cm左右</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优质棉花、软硬适中、高温处理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用于伤口清洁、消毒、涂抹药膏等</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口罩</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材质：非织造布和聚丙烯熔喷布重量：3g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口罩款式：挂耳式尺寸：17.5*9.5cm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容量：1包10片</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专业防护一次性医用口罩，随心调节，可塑性鼻夹更好贴合不易脱落</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用于防护和细菌过滤</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创可贴</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材质：吸水垫、隔离膜</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尺寸：单片长8.5cm、宽2.9cm 重量：约36g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规格：50片/盒</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主要用于小伤口贴服，材质透气舒适，密封包装，干净卫生， 一次性使用，清洗好伤口之后再贴以免感染。</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用于处理日常伤口</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盒</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纱布绷带</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材质：棉纱面料规格：6*8cm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包入数：10卷/包</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透气性好，柔软亲肤低闷热感，机器自动折叠，整齐均一，柔韧耐撕、温和柔软</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用于包扎固定使用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弯盘</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 规格：21*14*2.5cm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防碘伏材质具有优良的不锈耐腐蚀性能和较好的抗晶间腐蚀性能。用于换药消毒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暖手袋</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材质：橡胶、PP</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产品尺寸：27.5*14.5cm 重量：170g</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注水式暖水袋，防烫纹面、开阔袋口、PP盖子、确保安全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用于热敷</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固定折夹板</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规格：大号30*4.5cm*1、中号26*4.5cm*2、消耗18*4.5*1</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医用骨复高分子肱骨干夹板，向下均为3mm厚高分子材料，中间为1.5mm厚铝板，用于骨折固定</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棉球缸</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 规格：10*10cm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采用抛光工艺，耐高温美观实用。光滑外壁拉丝内壁一体成型</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用于盛放棉球、药膏等</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医用托盘</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 规格：24*16*5cm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防碘伏材质具有优良的不锈耐腐蚀性能和较好的抗晶间腐蚀性能</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用于换药消毒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持针器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材质：优质不锈钢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 xml:space="preserve">产品款式：内含直头一把 产品尺寸：14cm   </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 xml:space="preserve">头长尺纹：18mm   </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储存方式：阴凉干燥无腐蚀处</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采用安全不锈钢材质，安全耐用。自由调节闭合度使用简单安全。本品灭菌后使用，止血钳用途广泛，轻巧灵便</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把</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镊子筒</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材质：304不锈钢防碘伏</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产品尺寸：64*150mm 形状：倒锥形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升级款304不锈钢加厚款不易变形。表面条纹防滑，适用于盛放</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镊子等，加盖利于防尘</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防护服</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材质：PP+PE</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款式：L号（身高170cm、胸围130cm）连帽连体、拉链式，袖口、腰部均有松紧带</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功能：有效防护粉尘的危害、隔离有害颗粒个低危害的液体喷溅</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用途：适用于门诊、病房、非无菌场所</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速干手消剂</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规格：500ml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有效成分：乙醇含量70%±7%</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使用方法：取本品约3ml于手心揉搓1分钟至干。抑菌免洗型，医用品质经济高效</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注意事项：外用消毒液不得口服</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用于双手消毒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瓶</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医用乳胶手套</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材质：天然橡胶</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规格：L号独立灭菌装1双/包</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采用低致敏天然橡胶材质，加厚处理技术舒适服帖，耐拉伸耐酸碱</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适用于各种环境及人群</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一次性手套</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规格:100支/袋，10袋/盒，1000支/盒材质：PET粒原材料</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手套经过无粉处理，防滑纹理设计，抓取更简单方便。无色无味无荧光剂，环保材料质感强韧容易拉伸。用于医疗或检查时使用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盒</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隔离靴套</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材质：PP+PE膜尺寸：30*33cm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中筒隔离，有效防止粉尘飞沫封有害物质，松紧带设计开口，</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服帖不掉，舒适灵活用于隔离粉尘飞沫</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副</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防护面具</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镜片材质：PET</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镜片尺寸：32*22cm 帽围：55-60cm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食品级PET透光材质，高弹力头围</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用于防护飞沫、防尘抑菌</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异物针</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材质：医用不锈钢钛合金 规格：直尖+弯尖各一</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尺寸：12.5cm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采用优质材料，专业度高、细节性强，不锈钢钛合金，硬度高、韧性好，用于取出异物</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桶装饮水机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1.款式：立式</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2.类型：桶装饮水机</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3.加热方式：普通加热</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4.出水速度：0-1L/分钟</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5.水温类型：制冷+制热</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#6.220V、制热水能力≥3L/h</w:t>
            </w:r>
            <w:r>
              <w:rPr>
                <w:rFonts w:ascii="宋体" w:hAnsi="宋体" w:eastAsia="宋体" w:cs="宋体"/>
                <w:color w:val="auto"/>
                <w:kern w:val="0"/>
                <w:sz w:val="20"/>
                <w:szCs w:val="20"/>
                <w:highlight w:val="none"/>
                <w:lang w:bidi="ar"/>
              </w:rPr>
              <w:t xml:space="preserve">                                </w:t>
            </w:r>
            <w:r>
              <w:rPr>
                <w:rFonts w:hint="eastAsia" w:ascii="宋体" w:hAnsi="宋体" w:eastAsia="宋体" w:cs="宋体"/>
                <w:color w:val="auto"/>
                <w:kern w:val="0"/>
                <w:sz w:val="20"/>
                <w:szCs w:val="20"/>
                <w:highlight w:val="none"/>
                <w:lang w:bidi="ar"/>
              </w:rPr>
              <w:t>#7.加热体材质:304不锈钢</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5250" cy="9525"/>
                  <wp:effectExtent l="0" t="0" r="0" b="0"/>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5"/>
                          <a:stretch>
                            <a:fillRect/>
                          </a:stretch>
                        </pic:blipFill>
                        <pic:spPr>
                          <a:xfrm>
                            <a:off x="0" y="0"/>
                            <a:ext cx="95250" cy="9525"/>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诊察床</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#尺寸：1900*600*680mm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床框采用30*50mm厚度1.2mm矩方管床腿采用φ38mm、厚度1.2mm的圆管</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床面采用25mm优质海绵及优质蓝西皮包面</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坚固耐用，美观大方</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侦查枕头</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材质：优质加绒PVC植绒规格：38*24cm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采用贴合颈椎的凹形曲线设计，柔软舒适的植绒面料，高频热压成型接缝技术，防漏气，可安全使用。用于诊疗室枕头</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药品柜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#尺 寸 ：850*250/500/1750mm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柜体采用优质冷轧钢板材制作，经激光切割、折压、焊接成型，经酸洗磷化、静电喷塑处理加工而成</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座面采用优质不锈钢板材，牢固可靠，美观大方，耐久防锈</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分别采用移门式和开门式设计，以适应不同客户要求，配备抽屉与书写板选项</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中间带有2个抽屉，抽屉滑道采用三节静音式滑轮，抽拉灵活，无噪音</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 xml:space="preserve">采用整体一体化设计，使柜体更干净，不易产生细菌，上部玻璃门可以更加耐久使用，均配备固定三层隔板                    </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健康档案橱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材质：冷轧钢板，柜体采用优质冷轧钢板材制作，经激光切割、折压、焊接成型，经酸洗磷化、静电喷塑处理加工而成</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规格：1800*850*390mm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环保材质，开关顺滑、手感舒适、美观大方，用于存放档案等物品</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用途：用于存放档案</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白大褂</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材质：纯棉</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规格：S/M/L/XL</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简洁修身设计，适合不同体型，采用优质医用面料，亲肤柔软，吸汗透气，不缩水，不起球</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用途：用于检查诊疗时穿着</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眼保健操挂图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材质：铜版纸双面覆膜规格：42*62mm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全新眼保健操视力表，上有爱眼口诀，穴位介绍，眼保健操图解</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用途：用于保护视力宣传</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体前屈测量仪</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参考尺寸：40.5*25*21.5cm；材质：ASBS塑料</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游尺尺寸约60*4cm，测量范围-20-40cm，刻度精准清晰，游尺滑动流畅</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8档可以调节升降杆，适合不桶年龄段学生</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平衡木（铝合金）</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规格：长：3m 宽：10cm高: 30cm 两端各设置20×20cm平台</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（用于幼儿体测平衡能力使用）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软方块</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规格100×50×50mm。外面耐磨皮革包裹，内衬加厚海绵，底部内嵌钢板加重。（用于幼儿体测中“连续跳”使用）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网球</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6个/套 ,型号：303P  （用于幼儿体测平衡能力使用）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皮卷尺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规格：30m ，型号：QK-3016 （用于体测使用）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儿童刷牙模型牙模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规格：放大6倍（1:6） 大号牙模 16*15*13cm；材质：PVC</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（健康宣教使用）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耳解剖模型</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大型耳膜型，显示耳的内部结构及外耳、中耳、内耳和平衡器官的位置关系。分4件， 5倍放大，安放于底座上。材质：PVC，参考尺寸：15*15*10；高级彩绘（健康宣教使用）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眼球放大解剖模型</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此模型为眼球模型，放大6倍，6部件，此眼球模型正中矢状切，出示了眼球详细的内部结构。角膜，虹膜，晶状体，玻璃体可自由拆装，其中巩膜上的肌肉附着和部分脉络膜也可以观察到，一共有12个数字标识。材质：PVC，参考尺寸：17*15*27cm.重量：1100g（健康宣教使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儿童退热贴</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规格：110mm*40mm</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盒</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迷你冰柜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#最低制冷温度：-26°；容积：100L；电压：220V；卧式、定频、直冷、单温区、顶开门，一级能耗，参考尺寸：540*500*860</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隔离床</w:t>
            </w:r>
          </w:p>
          <w:p>
            <w:pPr>
              <w:pStyle w:val="8"/>
              <w:rPr>
                <w:color w:val="auto"/>
                <w:highlight w:val="none"/>
              </w:rPr>
            </w:pPr>
            <w:r>
              <w:rPr>
                <w:color w:val="auto"/>
                <w:highlight w:val="none"/>
              </w:rPr>
              <w:drawing>
                <wp:inline distT="0" distB="0" distL="114300" distR="114300">
                  <wp:extent cx="607695" cy="810895"/>
                  <wp:effectExtent l="0" t="0" r="1905" b="12065"/>
                  <wp:docPr id="8" name="图片 8" descr="0e927c14aac2d9d20128540deb5d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e927c14aac2d9d20128540deb5d842"/>
                          <pic:cNvPicPr>
                            <a:picLocks noChangeAspect="1"/>
                          </pic:cNvPicPr>
                        </pic:nvPicPr>
                        <pic:blipFill>
                          <a:blip r:embed="rId7"/>
                          <a:stretch>
                            <a:fillRect/>
                          </a:stretch>
                        </pic:blipFill>
                        <pic:spPr>
                          <a:xfrm>
                            <a:off x="0" y="0"/>
                            <a:ext cx="607695" cy="810895"/>
                          </a:xfrm>
                          <a:prstGeom prst="rect">
                            <a:avLst/>
                          </a:prstGeom>
                        </pic:spPr>
                      </pic:pic>
                    </a:graphicData>
                  </a:graphic>
                </wp:inline>
              </w:drawing>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pStyle w:val="9"/>
              <w:ind w:left="0" w:leftChars="0"/>
              <w:rPr>
                <w:color w:val="auto"/>
                <w:highlight w:val="none"/>
              </w:rPr>
            </w:pPr>
            <w:r>
              <w:rPr>
                <w:rFonts w:hint="eastAsia" w:hAnsi="宋体" w:eastAsia="宋体" w:cs="宋体"/>
                <w:color w:val="auto"/>
                <w:kern w:val="0"/>
                <w:sz w:val="20"/>
                <w:szCs w:val="20"/>
                <w:highlight w:val="none"/>
                <w:lang w:bidi="ar"/>
              </w:rPr>
              <w:t>尺寸：1900*600*680mm</w:t>
            </w:r>
            <w:r>
              <w:rPr>
                <w:rFonts w:hint="eastAsia" w:hAnsi="宋体" w:eastAsia="宋体" w:cs="宋体"/>
                <w:color w:val="auto"/>
                <w:kern w:val="0"/>
                <w:sz w:val="20"/>
                <w:szCs w:val="20"/>
                <w:highlight w:val="none"/>
                <w:lang w:bidi="ar"/>
              </w:rPr>
              <w:br w:type="textWrapping"/>
            </w:r>
            <w:r>
              <w:rPr>
                <w:rFonts w:hint="eastAsia" w:hAnsi="宋体" w:eastAsia="宋体" w:cs="宋体"/>
                <w:color w:val="auto"/>
                <w:kern w:val="0"/>
                <w:sz w:val="20"/>
                <w:szCs w:val="20"/>
                <w:highlight w:val="none"/>
                <w:lang w:bidi="ar"/>
              </w:rPr>
              <w:t>床框采用30*50mm厚度1.2mm矩方管床腿采用φ38mm、厚度1.2mm的圆管</w:t>
            </w:r>
            <w:r>
              <w:rPr>
                <w:rFonts w:hint="eastAsia" w:hAnsi="宋体" w:eastAsia="宋体" w:cs="宋体"/>
                <w:color w:val="auto"/>
                <w:kern w:val="0"/>
                <w:sz w:val="20"/>
                <w:szCs w:val="20"/>
                <w:highlight w:val="none"/>
                <w:lang w:bidi="ar"/>
              </w:rPr>
              <w:br w:type="textWrapping"/>
            </w:r>
            <w:r>
              <w:rPr>
                <w:rFonts w:hint="eastAsia" w:hAnsi="宋体" w:eastAsia="宋体" w:cs="宋体"/>
                <w:color w:val="auto"/>
                <w:kern w:val="0"/>
                <w:sz w:val="20"/>
                <w:szCs w:val="20"/>
                <w:highlight w:val="none"/>
                <w:lang w:bidi="ar"/>
              </w:rPr>
              <w:t>床面采用25mm优质海绵及优质蓝西皮包面</w:t>
            </w:r>
            <w:r>
              <w:rPr>
                <w:rFonts w:hint="eastAsia" w:hAnsi="宋体" w:eastAsia="宋体" w:cs="宋体"/>
                <w:color w:val="auto"/>
                <w:kern w:val="0"/>
                <w:sz w:val="20"/>
                <w:szCs w:val="20"/>
                <w:highlight w:val="none"/>
                <w:lang w:bidi="ar"/>
              </w:rPr>
              <w:br w:type="textWrapping"/>
            </w:r>
            <w:r>
              <w:rPr>
                <w:rFonts w:hint="eastAsia" w:hAnsi="宋体" w:eastAsia="宋体" w:cs="宋体"/>
                <w:color w:val="auto"/>
                <w:kern w:val="0"/>
                <w:sz w:val="20"/>
                <w:szCs w:val="20"/>
                <w:highlight w:val="none"/>
                <w:lang w:bidi="ar"/>
              </w:rPr>
              <w:t>坚固耐用，美观大方</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Cs w:val="32"/>
                <w:highlight w:val="none"/>
              </w:rPr>
            </w:pPr>
            <w:r>
              <w:rPr>
                <w:rFonts w:hint="eastAsia" w:ascii="宋体" w:hAnsi="宋体" w:eastAsia="宋体" w:cs="宋体"/>
                <w:b/>
                <w:bCs/>
                <w:color w:val="auto"/>
                <w:kern w:val="0"/>
                <w:szCs w:val="32"/>
                <w:highlight w:val="none"/>
                <w:lang w:bidi="ar"/>
              </w:rPr>
              <w:t>2、图书室</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jc w:val="center"/>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107950</wp:posOffset>
                  </wp:positionH>
                  <wp:positionV relativeFrom="paragraph">
                    <wp:posOffset>229235</wp:posOffset>
                  </wp:positionV>
                  <wp:extent cx="454025" cy="360680"/>
                  <wp:effectExtent l="0" t="0" r="3175" b="1270"/>
                  <wp:wrapNone/>
                  <wp:docPr id="17" name="图片_3"/>
                  <wp:cNvGraphicFramePr/>
                  <a:graphic xmlns:a="http://schemas.openxmlformats.org/drawingml/2006/main">
                    <a:graphicData uri="http://schemas.openxmlformats.org/drawingml/2006/picture">
                      <pic:pic xmlns:pic="http://schemas.openxmlformats.org/drawingml/2006/picture">
                        <pic:nvPicPr>
                          <pic:cNvPr id="17" name="图片_3"/>
                          <pic:cNvPicPr/>
                        </pic:nvPicPr>
                        <pic:blipFill>
                          <a:blip r:embed="rId8"/>
                          <a:stretch>
                            <a:fillRect/>
                          </a:stretch>
                        </pic:blipFill>
                        <pic:spPr>
                          <a:xfrm>
                            <a:off x="0" y="0"/>
                            <a:ext cx="454025" cy="36068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小圆桌</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#1.规格：直径900mm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2..桌面为≥16mm橡木制作，板材甲醛释放量E1≤0.05mg/m³，健康环保，纹理细致优美、色泽均匀</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3..桌腿：实木制成，厚实承重、耐用，经水性漆加工，水性漆挥发性有机化合物、苯系物、乙二醇及其酯类和游离甲醛均合格</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1156"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jc w:val="center"/>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136525</wp:posOffset>
                  </wp:positionH>
                  <wp:positionV relativeFrom="paragraph">
                    <wp:posOffset>241300</wp:posOffset>
                  </wp:positionV>
                  <wp:extent cx="360045" cy="365125"/>
                  <wp:effectExtent l="0" t="0" r="1905" b="15875"/>
                  <wp:wrapNone/>
                  <wp:docPr id="13" name="图片_2_SpCnt_1"/>
                  <wp:cNvGraphicFramePr/>
                  <a:graphic xmlns:a="http://schemas.openxmlformats.org/drawingml/2006/main">
                    <a:graphicData uri="http://schemas.openxmlformats.org/drawingml/2006/picture">
                      <pic:pic xmlns:pic="http://schemas.openxmlformats.org/drawingml/2006/picture">
                        <pic:nvPicPr>
                          <pic:cNvPr id="13" name="图片_2_SpCnt_1"/>
                          <pic:cNvPicPr/>
                        </pic:nvPicPr>
                        <pic:blipFill>
                          <a:blip r:embed="rId9"/>
                          <a:stretch>
                            <a:fillRect/>
                          </a:stretch>
                        </pic:blipFill>
                        <pic:spPr>
                          <a:xfrm>
                            <a:off x="0" y="0"/>
                            <a:ext cx="360045" cy="365125"/>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圆凳</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#高30CM，直径30CM，实木+PU材质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书架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根据教室环境定制，71.5*36.5*66，进口环保HDPE，10个一组</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5000" w:type="pct"/>
            <w:gridSpan w:val="5"/>
            <w:tcBorders>
              <w:top w:val="nil"/>
              <w:left w:val="single" w:color="000000" w:sz="4" w:space="0"/>
              <w:bottom w:val="nil"/>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Cs w:val="32"/>
                <w:highlight w:val="none"/>
              </w:rPr>
            </w:pPr>
            <w:r>
              <w:rPr>
                <w:rFonts w:hint="eastAsia" w:ascii="宋体" w:hAnsi="宋体" w:eastAsia="宋体" w:cs="宋体"/>
                <w:b/>
                <w:bCs/>
                <w:color w:val="auto"/>
                <w:kern w:val="0"/>
                <w:szCs w:val="32"/>
                <w:highlight w:val="none"/>
                <w:lang w:bidi="ar"/>
              </w:rPr>
              <w:t>3、多功能教室（公共活动室）</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jc w:val="center"/>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95250</wp:posOffset>
                  </wp:positionH>
                  <wp:positionV relativeFrom="paragraph">
                    <wp:posOffset>287020</wp:posOffset>
                  </wp:positionV>
                  <wp:extent cx="471805" cy="358140"/>
                  <wp:effectExtent l="0" t="0" r="4445" b="3810"/>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10"/>
                          <a:stretch>
                            <a:fillRect/>
                          </a:stretch>
                        </pic:blipFill>
                        <pic:spPr>
                          <a:xfrm>
                            <a:off x="0" y="0"/>
                            <a:ext cx="471805" cy="35814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桌子</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#670x550 H400-600mm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桌面采用E0级25mm刨花板双面贴三聚氰胺，表面添加耐磨层。注塑包边，完美无缝，永不脱落。高度八档升降，可满足3-8岁儿童身高。桌自由组合，经常搭配不同的形状，可满足儿童的新鲜感和好奇心。桌腿带微调功能，适合不平整的地面</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jc w:val="center"/>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lang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203835</wp:posOffset>
                  </wp:positionV>
                  <wp:extent cx="332105" cy="358775"/>
                  <wp:effectExtent l="0" t="0" r="10795" b="3175"/>
                  <wp:wrapNone/>
                  <wp:docPr id="10" name="图片_5"/>
                  <wp:cNvGraphicFramePr/>
                  <a:graphic xmlns:a="http://schemas.openxmlformats.org/drawingml/2006/main">
                    <a:graphicData uri="http://schemas.openxmlformats.org/drawingml/2006/picture">
                      <pic:pic xmlns:pic="http://schemas.openxmlformats.org/drawingml/2006/picture">
                        <pic:nvPicPr>
                          <pic:cNvPr id="10" name="图片_5"/>
                          <pic:cNvPicPr/>
                        </pic:nvPicPr>
                        <pic:blipFill>
                          <a:blip r:embed="rId11"/>
                          <a:stretch>
                            <a:fillRect/>
                          </a:stretch>
                        </pic:blipFill>
                        <pic:spPr>
                          <a:xfrm>
                            <a:off x="0" y="0"/>
                            <a:ext cx="332105" cy="358775"/>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椅子</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550x380x300mm特点：外观简约大方，弹性靠背及坐垫能帮儿童脊椎健康的发育。尺寸高度符合国家教委标准，适合大中班、学前班以及各个阶段的身高要求。选用进口PP塑料注塑成型，经久耐用、鲜艳不褪色。产品质量不受气候温差影响</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立式演讲台</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#715*475*750/1050H</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EO级环保中纤板，气压升降，静电喷塑，铝铸件一体成型支架</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凳子</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33x33x28互拆式储物凳</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375</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音乐器材柜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#1.1322W*440D*1140H</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2.材质：顶板为20mmMFC板，余为16mm，PVC直边封边，带轮</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3.其他：配16个小收纳盒</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jc w:val="center"/>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lang w:bidi="ar"/>
              </w:rPr>
              <w:drawing>
                <wp:anchor distT="0" distB="0" distL="114300" distR="114300" simplePos="0" relativeHeight="251660288" behindDoc="0" locked="0" layoutInCell="1" allowOverlap="1">
                  <wp:simplePos x="0" y="0"/>
                  <wp:positionH relativeFrom="column">
                    <wp:posOffset>76200</wp:posOffset>
                  </wp:positionH>
                  <wp:positionV relativeFrom="paragraph">
                    <wp:posOffset>215900</wp:posOffset>
                  </wp:positionV>
                  <wp:extent cx="521970" cy="432435"/>
                  <wp:effectExtent l="0" t="0" r="11430" b="5715"/>
                  <wp:wrapNone/>
                  <wp:docPr id="11" name="图片_7"/>
                  <wp:cNvGraphicFramePr/>
                  <a:graphic xmlns:a="http://schemas.openxmlformats.org/drawingml/2006/main">
                    <a:graphicData uri="http://schemas.openxmlformats.org/drawingml/2006/picture">
                      <pic:pic xmlns:pic="http://schemas.openxmlformats.org/drawingml/2006/picture">
                        <pic:nvPicPr>
                          <pic:cNvPr id="11" name="图片_7"/>
                          <pic:cNvPicPr/>
                        </pic:nvPicPr>
                        <pic:blipFill>
                          <a:blip r:embed="rId12"/>
                          <a:stretch>
                            <a:fillRect/>
                          </a:stretch>
                        </pic:blipFill>
                        <pic:spPr>
                          <a:xfrm>
                            <a:off x="0" y="0"/>
                            <a:ext cx="521970" cy="432435"/>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会议桌</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#尺寸：140*60*75，可折叠收纳，带脚轮</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1.桌面及挡板材质：E1级环保板材</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2.桌腿：烤漆钢架</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3.带铁质储物栏杆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4.桌脚带优质耐磨滑轮</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jc w:val="center"/>
              <w:textAlignment w:val="top"/>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82550</wp:posOffset>
                  </wp:positionH>
                  <wp:positionV relativeFrom="paragraph">
                    <wp:posOffset>429260</wp:posOffset>
                  </wp:positionV>
                  <wp:extent cx="536575" cy="690880"/>
                  <wp:effectExtent l="0" t="0" r="15875" b="13970"/>
                  <wp:wrapNone/>
                  <wp:docPr id="15" name="图片_18"/>
                  <wp:cNvGraphicFramePr/>
                  <a:graphic xmlns:a="http://schemas.openxmlformats.org/drawingml/2006/main">
                    <a:graphicData uri="http://schemas.openxmlformats.org/drawingml/2006/picture">
                      <pic:pic xmlns:pic="http://schemas.openxmlformats.org/drawingml/2006/picture">
                        <pic:nvPicPr>
                          <pic:cNvPr id="15" name="图片_18"/>
                          <pic:cNvPicPr/>
                        </pic:nvPicPr>
                        <pic:blipFill>
                          <a:blip r:embed="rId13"/>
                          <a:stretch>
                            <a:fillRect/>
                          </a:stretch>
                        </pic:blipFill>
                        <pic:spPr>
                          <a:xfrm>
                            <a:off x="0" y="0"/>
                            <a:ext cx="536575" cy="690880"/>
                          </a:xfrm>
                          <a:prstGeom prst="rect">
                            <a:avLst/>
                          </a:prstGeom>
                          <a:noFill/>
                          <a:ln>
                            <a:noFill/>
                          </a:ln>
                        </pic:spPr>
                      </pic:pic>
                    </a:graphicData>
                  </a:graphic>
                </wp:anchor>
              </w:drawing>
            </w:r>
            <w:r>
              <w:rPr>
                <w:rFonts w:hint="eastAsia" w:ascii="宋体" w:hAnsi="宋体" w:eastAsia="宋体" w:cs="宋体"/>
                <w:color w:val="auto"/>
                <w:kern w:val="0"/>
                <w:sz w:val="20"/>
                <w:szCs w:val="20"/>
                <w:highlight w:val="none"/>
                <w:lang w:bidi="ar"/>
              </w:rPr>
              <w:t>会议椅</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尺寸：500×650×820mm</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#1.材质：尼龙外框，透气网布，金属椅脚，带塑胶脚垫</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2.配备写字板，具有闭曹水杯架，采用铝合金承重托盘及承重旋转托盘</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3.高回弹海绵坐垫，符合GB /T 10802-2023《通用软质聚醚型聚氨酯泡沫塑料》标准，回弹率≥55%，拉伸强度≥160KPa，密度≥60kg/m³</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4.椅架：1.5mm壁厚喷涂黑色金属架，直径25mm,架子备折叠摞放功能。</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奥尔夫乐器全套打击乐器套装</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精品奥尔夫音乐教室62件套装，含6寸U型架三角铁2、|8寸原木铃鼓2、6寸原木铃鼓2、8寸原木手鼓2、6寸原木手鼓2、10寸原木铃圈2、8寸线雕款非洲鼓1、40cm塑料4节雨声器2、30音灰键铝板琴1、35cm榉木雨声器2、大号榉木多音筒2、大号铁镀铜带柄碰铃2、小号榉木光面双响筒2、小号榉木加沟双响筒2、大号榉木高低梆子2、大号榉木加沟单响筒2、21cm原木蛙鸣筒2、小号椰树沙筒2、榉木带柄长响板2、原木木2鱼、15cm原木沙锤2、中号榉木卡巴萨2、榉木自响筒2、原木节奏棒2、12cm全铜铜镲2、原木13铃摇铃2、榉木21铃摇铃2、榉木响板2、小号榉木沙蛋2、大号榉木沙蛋2、榉木半圆摇2铃、原木环保铃2，带收纳箱</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瑜伽垫</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600mm*1830mm*10mm，防滑NBR材质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专业音箱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3"/>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低音单元：</w:t>
            </w:r>
            <w:r>
              <w:rPr>
                <w:rFonts w:ascii="宋体" w:hAnsi="宋体" w:eastAsia="宋体" w:cs="宋体"/>
                <w:color w:val="auto"/>
                <w:kern w:val="0"/>
                <w:sz w:val="20"/>
                <w:szCs w:val="20"/>
                <w:highlight w:val="none"/>
                <w:lang w:bidi="ar"/>
              </w:rPr>
              <w:t>1×12(in)（300MM）</w:t>
            </w:r>
          </w:p>
          <w:p>
            <w:pPr>
              <w:widowControl/>
              <w:numPr>
                <w:ilvl w:val="0"/>
                <w:numId w:val="3"/>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高音单元：</w:t>
            </w:r>
            <w:r>
              <w:rPr>
                <w:rFonts w:ascii="宋体" w:hAnsi="宋体" w:eastAsia="宋体" w:cs="宋体"/>
                <w:color w:val="auto"/>
                <w:kern w:val="0"/>
                <w:sz w:val="20"/>
                <w:szCs w:val="20"/>
                <w:highlight w:val="none"/>
                <w:lang w:bidi="ar"/>
              </w:rPr>
              <w:t>1×1.75(in)（44.4MM）</w:t>
            </w:r>
          </w:p>
          <w:p>
            <w:pPr>
              <w:widowControl/>
              <w:numPr>
                <w:ilvl w:val="0"/>
                <w:numId w:val="3"/>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系统：</w:t>
            </w:r>
            <w:r>
              <w:rPr>
                <w:rFonts w:ascii="宋体" w:hAnsi="宋体" w:eastAsia="宋体" w:cs="宋体"/>
                <w:color w:val="auto"/>
                <w:kern w:val="0"/>
                <w:sz w:val="20"/>
                <w:szCs w:val="20"/>
                <w:highlight w:val="none"/>
                <w:lang w:bidi="ar"/>
              </w:rPr>
              <w:t>2wayspeaker</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#4.承受功率：450W</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#5.灵敏度：98±3dB</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6.1w/1m</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7.最大声压：125±3dB</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8.阻抗：8Ω频率响应：45Hz-19KHz</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9.指向角度：80°×50°</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表面处理：聚亚安酯点漆</w:t>
            </w:r>
            <w:r>
              <w:rPr>
                <w:rFonts w:ascii="宋体" w:hAnsi="宋体" w:eastAsia="宋体" w:cs="宋体"/>
                <w:color w:val="auto"/>
                <w:kern w:val="0"/>
                <w:sz w:val="20"/>
                <w:szCs w:val="20"/>
                <w:highlight w:val="none"/>
                <w:lang w:bidi="ar"/>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ind w:firstLine="200" w:firstLineChars="100"/>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4.00 </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专业功放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4"/>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8Ω立体声功率：300w×2</w:t>
            </w:r>
          </w:p>
          <w:p>
            <w:pPr>
              <w:widowControl/>
              <w:numPr>
                <w:ilvl w:val="0"/>
                <w:numId w:val="4"/>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4Ω立体声功率：450w×2</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#3.8Ω桥接功率：900w</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4.频率响应（在1w时）：20Hz～20KHz±0.3dB总谐波失真（%）：≤0.05%（1KHz）</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5.阻尼系数（at8Ω）：≥260信噪比（dB）：≥100dB</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6.输入阻抗（平衡/非平衡）：20kΩ/10kΩ</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7.输入灵敏度：1.4V32dB26dB</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8.工作电压：AC220V/50Hz装机高度：2U</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2.00 </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调音台</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#1.支持8路话筒平衡输入，可提供48V幻象电源供电，支持4路立体声输入</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#2.支持2路立体声输出，2组编组输出，均带60mm推子独立控</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制，编组信号可叠加到主输出</w:t>
            </w:r>
          </w:p>
          <w:p>
            <w:pPr>
              <w:rPr>
                <w:color w:val="auto"/>
                <w:highlight w:val="none"/>
              </w:rPr>
            </w:pPr>
            <w:r>
              <w:rPr>
                <w:rFonts w:ascii="宋体" w:hAnsi="宋体" w:eastAsia="宋体" w:cs="宋体"/>
                <w:color w:val="auto"/>
                <w:kern w:val="0"/>
                <w:sz w:val="20"/>
                <w:szCs w:val="20"/>
                <w:highlight w:val="none"/>
                <w:lang w:bidi="ar"/>
              </w:rPr>
              <w:t>3.支持2路辅助输出</w:t>
            </w:r>
          </w:p>
          <w:p>
            <w:pPr>
              <w:widowControl/>
              <w:jc w:val="left"/>
              <w:textAlignment w:val="center"/>
              <w:rPr>
                <w:rFonts w:ascii="宋体" w:hAnsi="宋体" w:eastAsia="宋体" w:cs="宋体"/>
                <w:color w:val="auto"/>
                <w:kern w:val="0"/>
                <w:sz w:val="20"/>
                <w:szCs w:val="20"/>
                <w:highlight w:val="none"/>
                <w:lang w:bidi="ar"/>
              </w:rPr>
            </w:pPr>
          </w:p>
          <w:p>
            <w:pPr>
              <w:rPr>
                <w:color w:val="auto"/>
                <w:highlight w:val="none"/>
              </w:rPr>
            </w:pPr>
            <w:r>
              <w:rPr>
                <w:rFonts w:ascii="宋体" w:hAnsi="宋体" w:eastAsia="宋体" w:cs="宋体"/>
                <w:color w:val="auto"/>
                <w:kern w:val="0"/>
                <w:sz w:val="20"/>
                <w:szCs w:val="20"/>
                <w:highlight w:val="none"/>
                <w:lang w:bidi="ar"/>
              </w:rPr>
              <w:t>4.立体声监听输出，可外接监听耳机或监听音箱</w:t>
            </w:r>
          </w:p>
          <w:p>
            <w:pPr>
              <w:widowControl/>
              <w:jc w:val="left"/>
              <w:textAlignment w:val="center"/>
              <w:rPr>
                <w:rFonts w:ascii="宋体" w:hAnsi="宋体" w:eastAsia="宋体" w:cs="宋体"/>
                <w:color w:val="auto"/>
                <w:kern w:val="0"/>
                <w:sz w:val="20"/>
                <w:szCs w:val="20"/>
                <w:highlight w:val="none"/>
                <w:lang w:bidi="ar"/>
              </w:rPr>
            </w:pPr>
          </w:p>
          <w:p>
            <w:pPr>
              <w:rPr>
                <w:color w:val="auto"/>
                <w:highlight w:val="none"/>
              </w:rPr>
            </w:pPr>
            <w:r>
              <w:rPr>
                <w:rFonts w:ascii="宋体" w:hAnsi="宋体" w:eastAsia="宋体" w:cs="宋体"/>
                <w:color w:val="auto"/>
                <w:kern w:val="0"/>
                <w:sz w:val="20"/>
                <w:szCs w:val="20"/>
                <w:highlight w:val="none"/>
                <w:lang w:bidi="ar"/>
              </w:rPr>
              <w:t>5.带有液晶显示屏，可直观观察当前效果模式选择</w:t>
            </w:r>
          </w:p>
          <w:p>
            <w:pPr>
              <w:widowControl/>
              <w:jc w:val="left"/>
              <w:textAlignment w:val="center"/>
              <w:rPr>
                <w:rFonts w:ascii="宋体" w:hAnsi="宋体" w:eastAsia="宋体" w:cs="宋体"/>
                <w:color w:val="auto"/>
                <w:kern w:val="0"/>
                <w:sz w:val="20"/>
                <w:szCs w:val="20"/>
                <w:highlight w:val="none"/>
                <w:lang w:bidi="ar"/>
              </w:rPr>
            </w:pP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6.标准双12段光柱电平表，精确指示电平大小，带有信号选择</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开关，可以自由选择指示主输出、编组输出、推子前等三种信号</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7.输出7段均衡，±12dB可调，带有直通和均衡切换开关；</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8.内置24-bitDSP数字效果器，32种效果可供选择，以满足各种场景需求</w:t>
            </w:r>
          </w:p>
          <w:p>
            <w:pPr>
              <w:rPr>
                <w:color w:val="auto"/>
                <w:highlight w:val="none"/>
              </w:rPr>
            </w:pPr>
            <w:r>
              <w:rPr>
                <w:rFonts w:ascii="宋体" w:hAnsi="宋体" w:eastAsia="宋体" w:cs="宋体"/>
                <w:color w:val="auto"/>
                <w:kern w:val="0"/>
                <w:sz w:val="20"/>
                <w:szCs w:val="20"/>
                <w:highlight w:val="none"/>
                <w:lang w:bidi="ar"/>
              </w:rPr>
              <w:t>9.采用SMT贴片工艺技术，进口点位器，推子推动平滑</w:t>
            </w:r>
          </w:p>
          <w:p>
            <w:pPr>
              <w:widowControl/>
              <w:jc w:val="left"/>
              <w:textAlignment w:val="center"/>
              <w:rPr>
                <w:rFonts w:ascii="宋体" w:hAnsi="宋体" w:eastAsia="宋体" w:cs="宋体"/>
                <w:color w:val="auto"/>
                <w:kern w:val="0"/>
                <w:sz w:val="20"/>
                <w:szCs w:val="20"/>
                <w:highlight w:val="none"/>
                <w:lang w:bidi="ar"/>
              </w:rPr>
            </w:pP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10.输入高中低3段均衡中频可扫频；</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11.输入每路带主输出MAIN，编组SUB，监听PFL开关，方便选择</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12.毎路带信号指示灯，监听PFL指示灯和峰值指示灯</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13.2组立体声辅助返回</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14.支持录音输出和录音回放输入</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15.外置大功率电源，提升信噪比</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16.可选配支架，直接装在标准机柜上</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技术参数</w:t>
            </w:r>
            <w:r>
              <w:rPr>
                <w:rFonts w:ascii="宋体" w:hAnsi="宋体" w:eastAsia="宋体" w:cs="宋体"/>
                <w:color w:val="auto"/>
                <w:kern w:val="0"/>
                <w:sz w:val="20"/>
                <w:szCs w:val="20"/>
                <w:highlight w:val="none"/>
                <w:lang w:bidi="ar"/>
              </w:rPr>
              <w:t>:</w:t>
            </w:r>
          </w:p>
          <w:p>
            <w:pPr>
              <w:widowControl/>
              <w:jc w:val="left"/>
              <w:textAlignment w:val="center"/>
              <w:rPr>
                <w:rFonts w:ascii="宋体" w:hAnsi="宋体" w:eastAsia="宋体" w:cs="宋体"/>
                <w:color w:val="auto"/>
                <w:kern w:val="0"/>
                <w:sz w:val="20"/>
                <w:szCs w:val="20"/>
                <w:highlight w:val="none"/>
                <w:lang w:bidi="ar"/>
              </w:rPr>
            </w:pPr>
            <w:r>
              <w:rPr>
                <w:rFonts w:ascii="宋体" w:hAnsi="宋体" w:cs="宋体"/>
                <w:color w:val="auto"/>
                <w:kern w:val="0"/>
                <w:sz w:val="20"/>
                <w:szCs w:val="20"/>
                <w:highlight w:val="none"/>
                <w:lang w:bidi="ar"/>
              </w:rPr>
              <w:t>#1.</w:t>
            </w:r>
            <w:r>
              <w:rPr>
                <w:rFonts w:hint="eastAsia" w:ascii="宋体" w:hAnsi="宋体" w:eastAsia="宋体" w:cs="宋体"/>
                <w:color w:val="auto"/>
                <w:kern w:val="0"/>
                <w:sz w:val="20"/>
                <w:szCs w:val="20"/>
                <w:highlight w:val="none"/>
                <w:lang w:bidi="ar"/>
              </w:rPr>
              <w:t>采样率：</w:t>
            </w:r>
            <w:r>
              <w:rPr>
                <w:rFonts w:ascii="宋体" w:hAnsi="宋体" w:eastAsia="宋体" w:cs="宋体"/>
                <w:color w:val="auto"/>
                <w:kern w:val="0"/>
                <w:sz w:val="20"/>
                <w:szCs w:val="20"/>
                <w:highlight w:val="none"/>
                <w:lang w:bidi="ar"/>
              </w:rPr>
              <w:t>48KHz</w:t>
            </w:r>
          </w:p>
          <w:p>
            <w:pPr>
              <w:widowControl/>
              <w:jc w:val="left"/>
              <w:textAlignment w:val="center"/>
              <w:rPr>
                <w:rFonts w:ascii="宋体" w:hAnsi="宋体" w:eastAsia="宋体" w:cs="宋体"/>
                <w:color w:val="auto"/>
                <w:kern w:val="0"/>
                <w:sz w:val="20"/>
                <w:szCs w:val="20"/>
                <w:highlight w:val="none"/>
                <w:lang w:bidi="ar"/>
              </w:rPr>
            </w:pPr>
            <w:r>
              <w:rPr>
                <w:rFonts w:ascii="宋体" w:hAnsi="宋体" w:cs="宋体"/>
                <w:color w:val="auto"/>
                <w:kern w:val="0"/>
                <w:sz w:val="20"/>
                <w:szCs w:val="20"/>
                <w:highlight w:val="none"/>
                <w:lang w:bidi="ar"/>
              </w:rPr>
              <w:t>#2.</w:t>
            </w:r>
            <w:r>
              <w:rPr>
                <w:rFonts w:hint="eastAsia" w:ascii="宋体" w:hAnsi="宋体" w:eastAsia="宋体" w:cs="宋体"/>
                <w:color w:val="auto"/>
                <w:kern w:val="0"/>
                <w:sz w:val="20"/>
                <w:szCs w:val="20"/>
                <w:highlight w:val="none"/>
                <w:lang w:bidi="ar"/>
              </w:rPr>
              <w:t>等效输入噪音</w:t>
            </w:r>
            <w:r>
              <w:rPr>
                <w:rFonts w:ascii="宋体" w:hAnsi="宋体" w:eastAsia="宋体" w:cs="宋体"/>
                <w:color w:val="auto"/>
                <w:kern w:val="0"/>
                <w:sz w:val="20"/>
                <w:szCs w:val="20"/>
                <w:highlight w:val="none"/>
                <w:lang w:bidi="ar"/>
              </w:rPr>
              <w:t>:≤-110dBm</w:t>
            </w:r>
          </w:p>
          <w:p>
            <w:pPr>
              <w:widowControl/>
              <w:jc w:val="left"/>
              <w:textAlignment w:val="center"/>
              <w:rPr>
                <w:rFonts w:ascii="宋体" w:hAnsi="宋体" w:eastAsia="宋体" w:cs="宋体"/>
                <w:color w:val="auto"/>
                <w:kern w:val="0"/>
                <w:sz w:val="20"/>
                <w:szCs w:val="20"/>
                <w:highlight w:val="none"/>
                <w:lang w:bidi="ar"/>
              </w:rPr>
            </w:pPr>
            <w:r>
              <w:rPr>
                <w:rFonts w:ascii="宋体" w:hAnsi="宋体" w:cs="宋体"/>
                <w:color w:val="auto"/>
                <w:kern w:val="0"/>
                <w:sz w:val="20"/>
                <w:szCs w:val="20"/>
                <w:highlight w:val="none"/>
                <w:lang w:bidi="ar"/>
              </w:rPr>
              <w:t>3.</w:t>
            </w:r>
            <w:r>
              <w:rPr>
                <w:rFonts w:hint="eastAsia" w:ascii="宋体" w:hAnsi="宋体" w:eastAsia="宋体" w:cs="宋体"/>
                <w:color w:val="auto"/>
                <w:kern w:val="0"/>
                <w:sz w:val="20"/>
                <w:szCs w:val="20"/>
                <w:highlight w:val="none"/>
                <w:lang w:bidi="ar"/>
              </w:rPr>
              <w:t>频率响应</w:t>
            </w:r>
            <w:r>
              <w:rPr>
                <w:rFonts w:ascii="宋体" w:hAnsi="宋体" w:eastAsia="宋体" w:cs="宋体"/>
                <w:color w:val="auto"/>
                <w:kern w:val="0"/>
                <w:sz w:val="20"/>
                <w:szCs w:val="20"/>
                <w:highlight w:val="none"/>
                <w:lang w:bidi="ar"/>
              </w:rPr>
              <w:t>:20HZ~20KHZ(+1，-3db)</w:t>
            </w:r>
          </w:p>
          <w:p>
            <w:pPr>
              <w:widowControl/>
              <w:jc w:val="left"/>
              <w:textAlignment w:val="center"/>
              <w:rPr>
                <w:rFonts w:ascii="宋体" w:hAnsi="宋体" w:eastAsia="宋体" w:cs="宋体"/>
                <w:color w:val="auto"/>
                <w:kern w:val="0"/>
                <w:sz w:val="20"/>
                <w:szCs w:val="20"/>
                <w:highlight w:val="none"/>
                <w:lang w:bidi="ar"/>
              </w:rPr>
            </w:pPr>
            <w:r>
              <w:rPr>
                <w:rFonts w:ascii="宋体" w:hAnsi="宋体" w:cs="宋体"/>
                <w:color w:val="auto"/>
                <w:kern w:val="0"/>
                <w:sz w:val="20"/>
                <w:szCs w:val="20"/>
                <w:highlight w:val="none"/>
                <w:lang w:bidi="ar"/>
              </w:rPr>
              <w:t>4.</w:t>
            </w:r>
            <w:r>
              <w:rPr>
                <w:rFonts w:hint="eastAsia" w:ascii="宋体" w:hAnsi="宋体" w:eastAsia="宋体" w:cs="宋体"/>
                <w:color w:val="auto"/>
                <w:kern w:val="0"/>
                <w:sz w:val="20"/>
                <w:szCs w:val="20"/>
                <w:highlight w:val="none"/>
                <w:lang w:bidi="ar"/>
              </w:rPr>
              <w:t>总谐波失真</w:t>
            </w:r>
            <w:r>
              <w:rPr>
                <w:rFonts w:ascii="宋体" w:hAnsi="宋体" w:eastAsia="宋体" w:cs="宋体"/>
                <w:color w:val="auto"/>
                <w:kern w:val="0"/>
                <w:sz w:val="20"/>
                <w:szCs w:val="20"/>
                <w:highlight w:val="none"/>
                <w:lang w:bidi="ar"/>
              </w:rPr>
              <w:t>:&lt;%1(额定条件：20HZ-20KHZ)</w:t>
            </w:r>
          </w:p>
          <w:p>
            <w:pPr>
              <w:widowControl/>
              <w:jc w:val="left"/>
              <w:textAlignment w:val="center"/>
              <w:rPr>
                <w:rFonts w:ascii="宋体" w:hAnsi="宋体" w:eastAsia="宋体" w:cs="宋体"/>
                <w:color w:val="auto"/>
                <w:kern w:val="0"/>
                <w:sz w:val="20"/>
                <w:szCs w:val="20"/>
                <w:highlight w:val="none"/>
                <w:lang w:bidi="ar"/>
              </w:rPr>
            </w:pPr>
            <w:r>
              <w:rPr>
                <w:rFonts w:ascii="宋体" w:hAnsi="宋体" w:cs="宋体"/>
                <w:color w:val="auto"/>
                <w:kern w:val="0"/>
                <w:sz w:val="20"/>
                <w:szCs w:val="20"/>
                <w:highlight w:val="none"/>
                <w:lang w:bidi="ar"/>
              </w:rPr>
              <w:t>5.</w:t>
            </w:r>
            <w:r>
              <w:rPr>
                <w:rFonts w:hint="eastAsia" w:ascii="宋体" w:hAnsi="宋体" w:eastAsia="宋体" w:cs="宋体"/>
                <w:color w:val="auto"/>
                <w:kern w:val="0"/>
                <w:sz w:val="20"/>
                <w:szCs w:val="20"/>
                <w:highlight w:val="none"/>
                <w:lang w:bidi="ar"/>
              </w:rPr>
              <w:t>均衡器：</w:t>
            </w:r>
            <w:r>
              <w:rPr>
                <w:rFonts w:ascii="宋体" w:hAnsi="宋体" w:eastAsia="宋体" w:cs="宋体"/>
                <w:color w:val="auto"/>
                <w:kern w:val="0"/>
                <w:sz w:val="20"/>
                <w:szCs w:val="20"/>
                <w:highlight w:val="none"/>
                <w:lang w:bidi="ar"/>
              </w:rPr>
              <w:t>HF:12KHz/±15dB；MF:0.25-6KHz/±15dB；LF:80</w:t>
            </w:r>
          </w:p>
          <w:p>
            <w:pPr>
              <w:widowControl/>
              <w:jc w:val="left"/>
              <w:textAlignment w:val="center"/>
              <w:rPr>
                <w:color w:val="auto"/>
                <w:highlight w:val="none"/>
              </w:rPr>
            </w:pPr>
            <w:r>
              <w:rPr>
                <w:rFonts w:ascii="宋体" w:hAnsi="宋体" w:eastAsia="宋体" w:cs="宋体"/>
                <w:color w:val="auto"/>
                <w:kern w:val="0"/>
                <w:sz w:val="20"/>
                <w:szCs w:val="20"/>
                <w:highlight w:val="none"/>
                <w:lang w:bidi="ar"/>
              </w:rPr>
              <w:t>HZ/±15dB；输入通道均衡特性：低频:80HZ/±15dB；</w:t>
            </w:r>
          </w:p>
          <w:p>
            <w:pPr>
              <w:widowControl/>
              <w:jc w:val="left"/>
              <w:textAlignment w:val="center"/>
              <w:rPr>
                <w:color w:val="auto"/>
                <w:highlight w:val="none"/>
              </w:rPr>
            </w:pPr>
            <w:r>
              <w:rPr>
                <w:rFonts w:ascii="宋体" w:hAnsi="宋体" w:cs="宋体"/>
                <w:color w:val="auto"/>
                <w:kern w:val="0"/>
                <w:sz w:val="20"/>
                <w:szCs w:val="20"/>
                <w:highlight w:val="none"/>
                <w:lang w:bidi="ar"/>
              </w:rPr>
              <w:t>6.</w:t>
            </w:r>
            <w:r>
              <w:rPr>
                <w:rFonts w:hint="eastAsia" w:ascii="宋体" w:hAnsi="宋体" w:eastAsia="宋体" w:cs="宋体"/>
                <w:color w:val="auto"/>
                <w:kern w:val="0"/>
                <w:sz w:val="20"/>
                <w:szCs w:val="20"/>
                <w:highlight w:val="none"/>
                <w:lang w:bidi="ar"/>
              </w:rPr>
              <w:t>中频</w:t>
            </w:r>
            <w:r>
              <w:rPr>
                <w:rFonts w:ascii="宋体" w:hAnsi="宋体" w:eastAsia="宋体" w:cs="宋体"/>
                <w:color w:val="auto"/>
                <w:kern w:val="0"/>
                <w:sz w:val="20"/>
                <w:szCs w:val="20"/>
                <w:highlight w:val="none"/>
                <w:lang w:bidi="ar"/>
              </w:rPr>
              <w:t>:0.25-6.0Kh/±15dB</w:t>
            </w:r>
          </w:p>
          <w:p>
            <w:pPr>
              <w:widowControl/>
              <w:jc w:val="left"/>
              <w:textAlignment w:val="center"/>
              <w:rPr>
                <w:color w:val="auto"/>
                <w:highlight w:val="none"/>
              </w:rPr>
            </w:pPr>
            <w:r>
              <w:rPr>
                <w:rFonts w:ascii="宋体" w:hAnsi="宋体" w:cs="宋体"/>
                <w:color w:val="auto"/>
                <w:kern w:val="0"/>
                <w:sz w:val="20"/>
                <w:szCs w:val="20"/>
                <w:highlight w:val="none"/>
                <w:lang w:bidi="ar"/>
              </w:rPr>
              <w:t>7.</w:t>
            </w:r>
            <w:r>
              <w:rPr>
                <w:rFonts w:hint="eastAsia" w:ascii="宋体" w:hAnsi="宋体" w:eastAsia="宋体" w:cs="宋体"/>
                <w:color w:val="auto"/>
                <w:kern w:val="0"/>
                <w:sz w:val="20"/>
                <w:szCs w:val="20"/>
                <w:highlight w:val="none"/>
                <w:lang w:bidi="ar"/>
              </w:rPr>
              <w:t>高频</w:t>
            </w:r>
            <w:r>
              <w:rPr>
                <w:rFonts w:ascii="宋体" w:hAnsi="宋体" w:eastAsia="宋体" w:cs="宋体"/>
                <w:color w:val="auto"/>
                <w:kern w:val="0"/>
                <w:sz w:val="20"/>
                <w:szCs w:val="20"/>
                <w:highlight w:val="none"/>
                <w:lang w:bidi="ar"/>
              </w:rPr>
              <w:t>:12KHZ/±15dB</w:t>
            </w:r>
          </w:p>
          <w:p>
            <w:pPr>
              <w:widowControl/>
              <w:jc w:val="left"/>
              <w:textAlignment w:val="center"/>
              <w:rPr>
                <w:color w:val="auto"/>
                <w:highlight w:val="none"/>
              </w:rPr>
            </w:pPr>
            <w:r>
              <w:rPr>
                <w:rFonts w:ascii="宋体" w:hAnsi="宋体" w:cs="宋体"/>
                <w:color w:val="auto"/>
                <w:kern w:val="0"/>
                <w:sz w:val="20"/>
                <w:szCs w:val="20"/>
                <w:highlight w:val="none"/>
                <w:lang w:bidi="ar"/>
              </w:rPr>
              <w:t>8.</w:t>
            </w:r>
            <w:r>
              <w:rPr>
                <w:rFonts w:hint="eastAsia" w:ascii="宋体" w:hAnsi="宋体" w:eastAsia="宋体" w:cs="宋体"/>
                <w:color w:val="auto"/>
                <w:kern w:val="0"/>
                <w:sz w:val="20"/>
                <w:szCs w:val="20"/>
                <w:highlight w:val="none"/>
                <w:lang w:bidi="ar"/>
              </w:rPr>
              <w:t>线路输入时的最大增益</w:t>
            </w:r>
            <w:r>
              <w:rPr>
                <w:rFonts w:ascii="宋体" w:hAnsi="宋体" w:eastAsia="宋体" w:cs="宋体"/>
                <w:color w:val="auto"/>
                <w:kern w:val="0"/>
                <w:sz w:val="20"/>
                <w:szCs w:val="20"/>
                <w:highlight w:val="none"/>
                <w:lang w:bidi="ar"/>
              </w:rPr>
              <w:t>:≥20dB</w:t>
            </w:r>
          </w:p>
          <w:p>
            <w:pPr>
              <w:widowControl/>
              <w:jc w:val="left"/>
              <w:textAlignment w:val="center"/>
              <w:rPr>
                <w:color w:val="auto"/>
                <w:highlight w:val="none"/>
              </w:rPr>
            </w:pPr>
            <w:r>
              <w:rPr>
                <w:rFonts w:ascii="宋体" w:hAnsi="宋体" w:cs="宋体"/>
                <w:color w:val="auto"/>
                <w:kern w:val="0"/>
                <w:sz w:val="20"/>
                <w:szCs w:val="20"/>
                <w:highlight w:val="none"/>
                <w:lang w:bidi="ar"/>
              </w:rPr>
              <w:t>9.</w:t>
            </w:r>
            <w:r>
              <w:rPr>
                <w:rFonts w:hint="eastAsia" w:ascii="宋体" w:hAnsi="宋体" w:eastAsia="宋体" w:cs="宋体"/>
                <w:color w:val="auto"/>
                <w:kern w:val="0"/>
                <w:sz w:val="20"/>
                <w:szCs w:val="20"/>
                <w:highlight w:val="none"/>
                <w:lang w:bidi="ar"/>
              </w:rPr>
              <w:t>传声器输入时的最大增益</w:t>
            </w:r>
            <w:r>
              <w:rPr>
                <w:rFonts w:ascii="宋体" w:hAnsi="宋体" w:eastAsia="宋体" w:cs="宋体"/>
                <w:color w:val="auto"/>
                <w:kern w:val="0"/>
                <w:sz w:val="20"/>
                <w:szCs w:val="20"/>
                <w:highlight w:val="none"/>
                <w:lang w:bidi="ar"/>
              </w:rPr>
              <w:t>:≥50dB；7.输入阻抗：话筒输入：≥1.0KΩ</w:t>
            </w:r>
          </w:p>
          <w:p>
            <w:pPr>
              <w:widowControl/>
              <w:jc w:val="left"/>
              <w:textAlignment w:val="center"/>
              <w:rPr>
                <w:color w:val="auto"/>
                <w:highlight w:val="none"/>
              </w:rPr>
            </w:pPr>
            <w:r>
              <w:rPr>
                <w:rFonts w:ascii="宋体" w:hAnsi="宋体" w:cs="宋体"/>
                <w:color w:val="auto"/>
                <w:kern w:val="0"/>
                <w:sz w:val="20"/>
                <w:szCs w:val="20"/>
                <w:highlight w:val="none"/>
                <w:lang w:bidi="ar"/>
              </w:rPr>
              <w:t>10.</w:t>
            </w:r>
            <w:r>
              <w:rPr>
                <w:rFonts w:hint="eastAsia" w:ascii="宋体" w:hAnsi="宋体" w:eastAsia="宋体" w:cs="宋体"/>
                <w:color w:val="auto"/>
                <w:kern w:val="0"/>
                <w:sz w:val="20"/>
                <w:szCs w:val="20"/>
                <w:highlight w:val="none"/>
                <w:lang w:bidi="ar"/>
              </w:rPr>
              <w:t>线路输入：≥</w:t>
            </w:r>
            <w:r>
              <w:rPr>
                <w:rFonts w:ascii="宋体" w:hAnsi="宋体" w:eastAsia="宋体" w:cs="宋体"/>
                <w:color w:val="auto"/>
                <w:kern w:val="0"/>
                <w:sz w:val="20"/>
                <w:szCs w:val="20"/>
                <w:highlight w:val="none"/>
                <w:lang w:bidi="ar"/>
              </w:rPr>
              <w:t>10KΩ</w:t>
            </w:r>
          </w:p>
          <w:p>
            <w:pPr>
              <w:widowControl/>
              <w:jc w:val="left"/>
              <w:textAlignment w:val="center"/>
              <w:rPr>
                <w:color w:val="auto"/>
                <w:highlight w:val="none"/>
              </w:rPr>
            </w:pPr>
            <w:r>
              <w:rPr>
                <w:rFonts w:ascii="宋体" w:hAnsi="宋体" w:cs="宋体"/>
                <w:color w:val="auto"/>
                <w:kern w:val="0"/>
                <w:sz w:val="20"/>
                <w:szCs w:val="20"/>
                <w:highlight w:val="none"/>
                <w:lang w:bidi="ar"/>
              </w:rPr>
              <w:t>11.</w:t>
            </w:r>
            <w:r>
              <w:rPr>
                <w:rFonts w:hint="eastAsia" w:ascii="宋体" w:hAnsi="宋体" w:eastAsia="宋体" w:cs="宋体"/>
                <w:color w:val="auto"/>
                <w:kern w:val="0"/>
                <w:sz w:val="20"/>
                <w:szCs w:val="20"/>
                <w:highlight w:val="none"/>
                <w:lang w:bidi="ar"/>
              </w:rPr>
              <w:t>磁带输入：</w:t>
            </w:r>
            <w:r>
              <w:rPr>
                <w:rFonts w:ascii="宋体" w:hAnsi="宋体" w:eastAsia="宋体" w:cs="宋体"/>
                <w:color w:val="auto"/>
                <w:kern w:val="0"/>
                <w:sz w:val="20"/>
                <w:szCs w:val="20"/>
                <w:highlight w:val="none"/>
                <w:lang w:bidi="ar"/>
              </w:rPr>
              <w:t>47KΩ</w:t>
            </w:r>
          </w:p>
          <w:p>
            <w:pPr>
              <w:widowControl/>
              <w:jc w:val="left"/>
              <w:textAlignment w:val="center"/>
              <w:rPr>
                <w:color w:val="auto"/>
                <w:highlight w:val="none"/>
              </w:rPr>
            </w:pPr>
            <w:r>
              <w:rPr>
                <w:rFonts w:ascii="宋体" w:hAnsi="宋体" w:cs="宋体"/>
                <w:color w:val="auto"/>
                <w:kern w:val="0"/>
                <w:sz w:val="20"/>
                <w:szCs w:val="20"/>
                <w:highlight w:val="none"/>
                <w:lang w:bidi="ar"/>
              </w:rPr>
              <w:t>12.</w:t>
            </w:r>
            <w:r>
              <w:rPr>
                <w:rFonts w:hint="eastAsia" w:ascii="宋体" w:hAnsi="宋体" w:eastAsia="宋体" w:cs="宋体"/>
                <w:color w:val="auto"/>
                <w:kern w:val="0"/>
                <w:sz w:val="20"/>
                <w:szCs w:val="20"/>
                <w:highlight w:val="none"/>
                <w:lang w:bidi="ar"/>
              </w:rPr>
              <w:t>效果激励器输入：</w:t>
            </w:r>
            <w:r>
              <w:rPr>
                <w:rFonts w:ascii="宋体" w:hAnsi="宋体" w:eastAsia="宋体" w:cs="宋体"/>
                <w:color w:val="auto"/>
                <w:kern w:val="0"/>
                <w:sz w:val="20"/>
                <w:szCs w:val="20"/>
                <w:highlight w:val="none"/>
                <w:lang w:bidi="ar"/>
              </w:rPr>
              <w:t>20KΩ8.输出阻抗：总输出：≤300Ω</w:t>
            </w:r>
          </w:p>
          <w:p>
            <w:pPr>
              <w:widowControl/>
              <w:jc w:val="left"/>
              <w:textAlignment w:val="center"/>
              <w:rPr>
                <w:color w:val="auto"/>
                <w:highlight w:val="none"/>
              </w:rPr>
            </w:pPr>
            <w:r>
              <w:rPr>
                <w:rFonts w:ascii="宋体" w:hAnsi="宋体" w:cs="宋体"/>
                <w:color w:val="auto"/>
                <w:kern w:val="0"/>
                <w:sz w:val="20"/>
                <w:szCs w:val="20"/>
                <w:highlight w:val="none"/>
                <w:lang w:bidi="ar"/>
              </w:rPr>
              <w:t>13.</w:t>
            </w:r>
            <w:r>
              <w:rPr>
                <w:rFonts w:hint="eastAsia" w:ascii="宋体" w:hAnsi="宋体" w:eastAsia="宋体" w:cs="宋体"/>
                <w:color w:val="auto"/>
                <w:kern w:val="0"/>
                <w:sz w:val="20"/>
                <w:szCs w:val="20"/>
                <w:highlight w:val="none"/>
                <w:lang w:bidi="ar"/>
              </w:rPr>
              <w:t>监听总输出：≤</w:t>
            </w:r>
            <w:r>
              <w:rPr>
                <w:rFonts w:ascii="宋体" w:hAnsi="宋体" w:eastAsia="宋体" w:cs="宋体"/>
                <w:color w:val="auto"/>
                <w:kern w:val="0"/>
                <w:sz w:val="20"/>
                <w:szCs w:val="20"/>
                <w:highlight w:val="none"/>
                <w:lang w:bidi="ar"/>
              </w:rPr>
              <w:t>300Ω</w:t>
            </w:r>
          </w:p>
          <w:p>
            <w:pPr>
              <w:widowControl/>
              <w:jc w:val="left"/>
              <w:textAlignment w:val="center"/>
              <w:rPr>
                <w:color w:val="auto"/>
                <w:highlight w:val="none"/>
              </w:rPr>
            </w:pPr>
            <w:r>
              <w:rPr>
                <w:rFonts w:ascii="宋体" w:hAnsi="宋体" w:cs="宋体"/>
                <w:color w:val="auto"/>
                <w:kern w:val="0"/>
                <w:sz w:val="20"/>
                <w:szCs w:val="20"/>
                <w:highlight w:val="none"/>
                <w:lang w:bidi="ar"/>
              </w:rPr>
              <w:t>14.</w:t>
            </w:r>
            <w:r>
              <w:rPr>
                <w:rFonts w:hint="eastAsia" w:ascii="宋体" w:hAnsi="宋体" w:eastAsia="宋体" w:cs="宋体"/>
                <w:color w:val="auto"/>
                <w:kern w:val="0"/>
                <w:sz w:val="20"/>
                <w:szCs w:val="20"/>
                <w:highlight w:val="none"/>
                <w:lang w:bidi="ar"/>
              </w:rPr>
              <w:t>效果激励器输出：≤</w:t>
            </w:r>
            <w:r>
              <w:rPr>
                <w:rFonts w:ascii="宋体" w:hAnsi="宋体" w:eastAsia="宋体" w:cs="宋体"/>
                <w:color w:val="auto"/>
                <w:kern w:val="0"/>
                <w:sz w:val="20"/>
                <w:szCs w:val="20"/>
                <w:highlight w:val="none"/>
                <w:lang w:bidi="ar"/>
              </w:rPr>
              <w:t>10Ω</w:t>
            </w:r>
          </w:p>
          <w:p>
            <w:pPr>
              <w:widowControl/>
              <w:jc w:val="left"/>
              <w:textAlignment w:val="center"/>
              <w:rPr>
                <w:rFonts w:ascii="宋体" w:hAnsi="宋体" w:eastAsia="宋体" w:cs="宋体"/>
                <w:color w:val="auto"/>
                <w:kern w:val="0"/>
                <w:sz w:val="20"/>
                <w:szCs w:val="20"/>
                <w:highlight w:val="none"/>
                <w:lang w:bidi="ar"/>
              </w:rPr>
            </w:pPr>
            <w:r>
              <w:rPr>
                <w:rFonts w:ascii="宋体" w:hAnsi="宋体" w:cs="宋体"/>
                <w:color w:val="auto"/>
                <w:kern w:val="0"/>
                <w:sz w:val="20"/>
                <w:szCs w:val="20"/>
                <w:highlight w:val="none"/>
                <w:lang w:bidi="ar"/>
              </w:rPr>
              <w:t>15.</w:t>
            </w:r>
            <w:r>
              <w:rPr>
                <w:rFonts w:hint="eastAsia" w:ascii="宋体" w:hAnsi="宋体" w:eastAsia="宋体" w:cs="宋体"/>
                <w:color w:val="auto"/>
                <w:kern w:val="0"/>
                <w:sz w:val="20"/>
                <w:szCs w:val="20"/>
                <w:highlight w:val="none"/>
                <w:lang w:bidi="ar"/>
              </w:rPr>
              <w:t>卡式输出：≤</w:t>
            </w:r>
            <w:r>
              <w:rPr>
                <w:rFonts w:ascii="宋体" w:hAnsi="宋体" w:eastAsia="宋体" w:cs="宋体"/>
                <w:color w:val="auto"/>
                <w:kern w:val="0"/>
                <w:sz w:val="20"/>
                <w:szCs w:val="20"/>
                <w:highlight w:val="none"/>
                <w:lang w:bidi="ar"/>
              </w:rPr>
              <w:t>10Ω9.转换器:24-BITSIGMA-DELTA</w:t>
            </w:r>
          </w:p>
          <w:p>
            <w:pPr>
              <w:widowControl/>
              <w:jc w:val="left"/>
              <w:textAlignment w:val="center"/>
              <w:rPr>
                <w:color w:val="auto"/>
                <w:highlight w:val="none"/>
              </w:rPr>
            </w:pPr>
            <w:r>
              <w:rPr>
                <w:rFonts w:ascii="宋体" w:hAnsi="宋体" w:cs="宋体"/>
                <w:color w:val="auto"/>
                <w:kern w:val="0"/>
                <w:sz w:val="20"/>
                <w:szCs w:val="20"/>
                <w:highlight w:val="none"/>
                <w:lang w:bidi="ar"/>
              </w:rPr>
              <w:t>16.</w:t>
            </w:r>
            <w:r>
              <w:rPr>
                <w:rFonts w:hint="eastAsia" w:ascii="宋体" w:hAnsi="宋体" w:eastAsia="宋体" w:cs="宋体"/>
                <w:color w:val="auto"/>
                <w:kern w:val="0"/>
                <w:sz w:val="20"/>
                <w:szCs w:val="20"/>
                <w:highlight w:val="none"/>
                <w:lang w:bidi="ar"/>
              </w:rPr>
              <w:t>效果种类：</w:t>
            </w:r>
            <w:r>
              <w:rPr>
                <w:rFonts w:ascii="宋体" w:hAnsi="宋体" w:eastAsia="宋体" w:cs="宋体"/>
                <w:color w:val="auto"/>
                <w:kern w:val="0"/>
                <w:sz w:val="20"/>
                <w:szCs w:val="20"/>
                <w:highlight w:val="none"/>
                <w:lang w:bidi="ar"/>
              </w:rPr>
              <w:t>32种效果</w:t>
            </w:r>
          </w:p>
          <w:p>
            <w:pPr>
              <w:widowControl/>
              <w:jc w:val="left"/>
              <w:textAlignment w:val="center"/>
              <w:rPr>
                <w:rFonts w:ascii="宋体" w:hAnsi="宋体" w:eastAsia="宋体" w:cs="宋体"/>
                <w:color w:val="auto"/>
                <w:sz w:val="20"/>
                <w:szCs w:val="20"/>
                <w:highlight w:val="none"/>
              </w:rPr>
            </w:pPr>
            <w:r>
              <w:rPr>
                <w:rFonts w:ascii="宋体" w:hAnsi="宋体" w:cs="宋体"/>
                <w:color w:val="auto"/>
                <w:kern w:val="0"/>
                <w:sz w:val="20"/>
                <w:szCs w:val="20"/>
                <w:highlight w:val="none"/>
                <w:lang w:bidi="ar"/>
              </w:rPr>
              <w:t>17.</w:t>
            </w:r>
            <w:r>
              <w:rPr>
                <w:rFonts w:hint="eastAsia" w:ascii="宋体" w:hAnsi="宋体" w:eastAsia="宋体" w:cs="宋体"/>
                <w:color w:val="auto"/>
                <w:kern w:val="0"/>
                <w:sz w:val="20"/>
                <w:szCs w:val="20"/>
                <w:highlight w:val="none"/>
                <w:lang w:bidi="ar"/>
              </w:rPr>
              <w:t>整机功率</w:t>
            </w:r>
            <w:r>
              <w:rPr>
                <w:rFonts w:ascii="宋体" w:hAnsi="宋体" w:eastAsia="宋体" w:cs="宋体"/>
                <w:color w:val="auto"/>
                <w:kern w:val="0"/>
                <w:sz w:val="20"/>
                <w:szCs w:val="20"/>
                <w:highlight w:val="none"/>
                <w:lang w:bidi="ar"/>
              </w:rPr>
              <w:t>:≤40W</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2.00 </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数字音频处理器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#1.4进8出专业网络音频处理器</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2.内置矩阵混音，均衡器，分配器，压缩器等DSP功能</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3.采用32位浮点DSP、24位专业级AD/DA转换器、96K采样频率技术的高性能专业音箱处理器技术</w:t>
            </w:r>
          </w:p>
          <w:p>
            <w:pPr>
              <w:widowControl/>
              <w:jc w:val="left"/>
              <w:textAlignment w:val="center"/>
              <w:rPr>
                <w:color w:val="auto"/>
                <w:highlight w:val="none"/>
              </w:rPr>
            </w:pPr>
            <w:r>
              <w:rPr>
                <w:rFonts w:ascii="宋体" w:hAnsi="宋体" w:eastAsia="宋体" w:cs="宋体"/>
                <w:color w:val="auto"/>
                <w:kern w:val="0"/>
                <w:sz w:val="20"/>
                <w:szCs w:val="20"/>
                <w:highlight w:val="none"/>
                <w:lang w:bidi="ar"/>
              </w:rPr>
              <w:t>4.前面板LCD显示器可以显示当前设备的IP地址及MAC地址</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5.输入输出均带有信号指示灯，并有默音信号指示</w:t>
            </w:r>
          </w:p>
          <w:p>
            <w:pPr>
              <w:rPr>
                <w:color w:val="auto"/>
                <w:highlight w:val="none"/>
              </w:rPr>
            </w:pPr>
            <w:r>
              <w:rPr>
                <w:rFonts w:ascii="宋体" w:hAnsi="宋体" w:eastAsia="宋体" w:cs="宋体"/>
                <w:color w:val="auto"/>
                <w:kern w:val="0"/>
                <w:sz w:val="20"/>
                <w:szCs w:val="20"/>
                <w:highlight w:val="none"/>
                <w:lang w:bidi="ar"/>
              </w:rPr>
              <w:t>6.支持4路MIC输入，8路平衡音频输出通道，输入提供噪声门</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、压缩限幅器功能，输出提供压缩限幅器功能</w:t>
            </w:r>
          </w:p>
          <w:p>
            <w:pPr>
              <w:rPr>
                <w:color w:val="auto"/>
                <w:highlight w:val="none"/>
              </w:rPr>
            </w:pPr>
            <w:r>
              <w:rPr>
                <w:rFonts w:ascii="宋体" w:hAnsi="宋体" w:eastAsia="宋体" w:cs="宋体"/>
                <w:color w:val="auto"/>
                <w:kern w:val="0"/>
                <w:sz w:val="20"/>
                <w:szCs w:val="20"/>
                <w:highlight w:val="none"/>
                <w:lang w:bidi="ar"/>
              </w:rPr>
              <w:t>7.每个输入输出通道均提供专业分频、7段均衡调节、高低通</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调节，且输入通道延时长达</w:t>
            </w:r>
            <w:r>
              <w:rPr>
                <w:rFonts w:ascii="宋体" w:hAnsi="宋体" w:eastAsia="宋体" w:cs="宋体"/>
                <w:color w:val="auto"/>
                <w:kern w:val="0"/>
                <w:sz w:val="20"/>
                <w:szCs w:val="20"/>
                <w:highlight w:val="none"/>
                <w:lang w:bidi="ar"/>
              </w:rPr>
              <w:t>1000ms，输出通道延时长达2000ms</w:t>
            </w:r>
          </w:p>
          <w:p>
            <w:pPr>
              <w:rPr>
                <w:color w:val="auto"/>
                <w:highlight w:val="none"/>
              </w:rPr>
            </w:pPr>
            <w:r>
              <w:rPr>
                <w:rFonts w:ascii="宋体" w:hAnsi="宋体" w:eastAsia="宋体" w:cs="宋体"/>
                <w:color w:val="auto"/>
                <w:kern w:val="0"/>
                <w:sz w:val="20"/>
                <w:szCs w:val="20"/>
                <w:highlight w:val="none"/>
                <w:lang w:bidi="ar"/>
              </w:rPr>
              <w:t>8.设备配备网口、RS-232、RS-485、GPIO接口等</w:t>
            </w:r>
          </w:p>
          <w:p>
            <w:pPr>
              <w:widowControl/>
              <w:jc w:val="left"/>
              <w:textAlignment w:val="center"/>
              <w:rPr>
                <w:rFonts w:ascii="宋体" w:hAnsi="宋体" w:eastAsia="宋体" w:cs="宋体"/>
                <w:color w:val="auto"/>
                <w:kern w:val="0"/>
                <w:sz w:val="20"/>
                <w:szCs w:val="20"/>
                <w:highlight w:val="none"/>
                <w:lang w:bidi="ar"/>
              </w:rPr>
            </w:pPr>
          </w:p>
          <w:p>
            <w:pPr>
              <w:rPr>
                <w:color w:val="auto"/>
                <w:highlight w:val="none"/>
              </w:rPr>
            </w:pPr>
            <w:r>
              <w:rPr>
                <w:rFonts w:ascii="宋体" w:hAnsi="宋体" w:eastAsia="宋体" w:cs="宋体"/>
                <w:color w:val="auto"/>
                <w:kern w:val="0"/>
                <w:sz w:val="20"/>
                <w:szCs w:val="20"/>
                <w:highlight w:val="none"/>
                <w:lang w:bidi="ar"/>
              </w:rPr>
              <w:t>9.内置信号发生器：正弦波信号、粉红噪声、白噪声等功能丰</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富</w:t>
            </w:r>
          </w:p>
          <w:p>
            <w:pPr>
              <w:rPr>
                <w:color w:val="auto"/>
                <w:highlight w:val="none"/>
              </w:rPr>
            </w:pPr>
          </w:p>
          <w:p>
            <w:pPr>
              <w:rPr>
                <w:color w:val="auto"/>
                <w:highlight w:val="none"/>
              </w:rPr>
            </w:pPr>
            <w:r>
              <w:rPr>
                <w:rFonts w:ascii="宋体" w:hAnsi="宋体" w:eastAsia="宋体" w:cs="宋体"/>
                <w:color w:val="auto"/>
                <w:kern w:val="0"/>
                <w:sz w:val="20"/>
                <w:szCs w:val="20"/>
                <w:highlight w:val="none"/>
                <w:lang w:bidi="ar"/>
              </w:rPr>
              <w:t>10.通过软件调节，更加清晰明了地对参数进行调节，控制软</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件支持一键静音，操作界面支持中英文切换，并且可实现多台处理器集中控制</w:t>
            </w:r>
          </w:p>
          <w:p>
            <w:pPr>
              <w:rPr>
                <w:color w:val="auto"/>
                <w:highlight w:val="none"/>
              </w:rPr>
            </w:pPr>
            <w:r>
              <w:rPr>
                <w:rFonts w:ascii="宋体" w:hAnsi="宋体" w:eastAsia="宋体" w:cs="宋体"/>
                <w:color w:val="auto"/>
                <w:kern w:val="0"/>
                <w:sz w:val="20"/>
                <w:szCs w:val="20"/>
                <w:highlight w:val="none"/>
                <w:lang w:bidi="ar"/>
              </w:rPr>
              <w:t>11.支持通道参数复制、通道参数联动调节，可将机器各配置</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参数储存到磁盘文件中，为多台设备或不同使用场景提供预置场景配置及参数的切换与还原。</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技术参数：</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1.信号处理：32位浮点DSP；</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2.数模转换：24位专业级AD/DA转换器；</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3.采样率：96KHz；</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4.音频系统延迟：&lt;1ms;</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5.输入通道：3/4路XLR平衡输入，阻抗10KΩ</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6.最大输入电平：+19dB；</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7.输入点平编组：-70dB~+12dB，可方向；</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8.输入通道延时：0~1000ms；</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9.输出接口：6/8路XLR平衡输出，阻抗&lt;50Ω；</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10.最大输出电平：+19dB；</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11.输出电平编组：-70dB~+12dB，可方向；</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12.输出通道延时：0~2000ms；</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13.频率响应：20Hz~20kHz；</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14.动态范围：115dB；</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15.总谐波失真：&lt;0.0035%THD+D</w:t>
            </w:r>
          </w:p>
          <w:p>
            <w:pPr>
              <w:widowControl/>
              <w:jc w:val="left"/>
              <w:textAlignment w:val="center"/>
              <w:rPr>
                <w:color w:val="auto"/>
                <w:highlight w:val="none"/>
              </w:rPr>
            </w:pPr>
            <w:r>
              <w:rPr>
                <w:rFonts w:ascii="宋体" w:hAnsi="宋体" w:eastAsia="宋体" w:cs="宋体"/>
                <w:color w:val="auto"/>
                <w:kern w:val="0"/>
                <w:sz w:val="20"/>
                <w:szCs w:val="20"/>
                <w:highlight w:val="none"/>
                <w:lang w:bidi="ar"/>
              </w:rPr>
              <w:t>16.控制接口：RJ-45接口、RS-232、RS-485、GPIO端口；</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17.电源：AC220V-50Hz</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双通道无线手持麦克风</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1.UHF频段，锁相环(PLL)频率合成双通道无线会议接收机</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2.主机可选配手持/头戴麦克风实现多场合的使用场所</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3.采用全新的数字导频技术，彻底解决相互串频现象，自动搜索无干扰信道功能；采用自动人手感应技术，话筒离开人手静止后3秒内</w:t>
            </w:r>
            <w:r>
              <w:rPr>
                <w:rFonts w:hint="eastAsia" w:ascii="宋体" w:hAnsi="宋体" w:eastAsia="宋体" w:cs="宋体"/>
                <w:color w:val="auto"/>
                <w:kern w:val="0"/>
                <w:sz w:val="20"/>
                <w:szCs w:val="20"/>
                <w:highlight w:val="none"/>
                <w:lang w:bidi="ar"/>
              </w:rPr>
              <w:t>自动静音，</w:t>
            </w:r>
            <w:r>
              <w:rPr>
                <w:rFonts w:ascii="宋体" w:hAnsi="宋体" w:eastAsia="宋体" w:cs="宋体"/>
                <w:color w:val="auto"/>
                <w:kern w:val="0"/>
                <w:sz w:val="20"/>
                <w:szCs w:val="20"/>
                <w:highlight w:val="none"/>
                <w:lang w:bidi="ar"/>
              </w:rPr>
              <w:t>5分钟后自动节能进入待机状态，15分钟后自动关机并且彻底切断电源</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4.内设静音电路，完全消除麦克风开启和关闭的冲击噪声</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5.100×2个信道，信道间隔250KHz，具备极高的接收灵敏度</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6.麦克风采用独特的升压设计，电池电量下降不影响手咪整体性能</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7.具备可调发射功率和可调静噪门限，接收机设有静噪控制旋</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钮；</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技术参数：</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1.频率范围：640-690MHz</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2.可调信道数：100×2</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3.工作有效距离：100米（空旷距离）</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#4.频率稳定度：±10ppm</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#5.接收灵敏度：-95~-67dBm</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6.音频频响：40-18000Hz</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7.谐波失真：≤0.5%；信噪比：≥110dB</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8.音频输出：平衡输出和混合输出</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9.发射功率：3-30mW</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10.电池规格：5号电池2节</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11.电源规格：220VAC/50-60HZ12VDC</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12.电源消耗：≤10W</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8.00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时序电源控制器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1.有效按开机先前及后、关机则先后及前的顺序开关；每路输出带指示灯，开关控制电源</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2.配置电压显示窗口；额定输出电流高达30A</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3.总共可控制8路管理电源，每路动作延时时间：1s</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4.每路输出带指示灯，单路额定输出电流：20A</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5.主机设置一路短路输入输出口，可实现多台链接，方便使用</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6.减少用电设备对输电线路启动产生的冲击电流</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7.系统管理员得以远离繁复的开关，切断用电设备的电源的工作</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技术参数：</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1.额定输出电压：交流220V，50Hz；额定输出电流：30A</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#2.可控制电源:8路</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3.每路动作延时时间:1秒</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4.供电电源：VAC50/60Hz25A；单路额定输出电源：20A</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2.00 </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机柜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专业演出航空机柜，</w:t>
            </w:r>
            <w:r>
              <w:rPr>
                <w:rFonts w:ascii="宋体" w:hAnsi="宋体" w:eastAsia="宋体" w:cs="宋体"/>
                <w:color w:val="auto"/>
                <w:kern w:val="0"/>
                <w:sz w:val="20"/>
                <w:szCs w:val="20"/>
                <w:highlight w:val="none"/>
                <w:lang w:bidi="ar"/>
              </w:rPr>
              <w:t>22U</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#1.铝合金包边防火板材</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2.金属拉手</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3.万向脚轮</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4.加厚蝴蝶锁</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5.加厚防震棉</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sz w:val="20"/>
                <w:szCs w:val="20"/>
                <w:highlight w:val="none"/>
              </w:rPr>
              <w:t>17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话筒支架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5"/>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金属黑色</w:t>
            </w:r>
          </w:p>
          <w:p>
            <w:pPr>
              <w:widowControl/>
              <w:numPr>
                <w:ilvl w:val="0"/>
                <w:numId w:val="5"/>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加厚加重</w:t>
            </w:r>
          </w:p>
          <w:p>
            <w:pPr>
              <w:widowControl/>
              <w:numPr>
                <w:ilvl w:val="0"/>
                <w:numId w:val="5"/>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户外用</w:t>
            </w:r>
          </w:p>
          <w:p>
            <w:pPr>
              <w:widowControl/>
              <w:numPr>
                <w:ilvl w:val="0"/>
                <w:numId w:val="5"/>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高度：</w:t>
            </w:r>
            <w:r>
              <w:rPr>
                <w:rFonts w:hint="eastAsia" w:ascii="宋体" w:hAnsi="宋体" w:cs="宋体"/>
                <w:color w:val="auto"/>
                <w:kern w:val="0"/>
                <w:sz w:val="20"/>
                <w:szCs w:val="20"/>
                <w:highlight w:val="none"/>
                <w:lang w:bidi="ar"/>
              </w:rPr>
              <w:t>≥</w:t>
            </w:r>
            <w:r>
              <w:rPr>
                <w:rFonts w:ascii="宋体" w:hAnsi="宋体" w:eastAsia="宋体" w:cs="宋体"/>
                <w:color w:val="auto"/>
                <w:kern w:val="0"/>
                <w:sz w:val="20"/>
                <w:szCs w:val="20"/>
                <w:highlight w:val="none"/>
                <w:lang w:bidi="ar"/>
              </w:rPr>
              <w:t>1000-1760mm</w:t>
            </w:r>
          </w:p>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横杆长度</w:t>
            </w:r>
            <w:r>
              <w:rPr>
                <w:rFonts w:hint="eastAsia" w:ascii="宋体" w:hAnsi="宋体" w:cs="宋体"/>
                <w:color w:val="auto"/>
                <w:kern w:val="0"/>
                <w:sz w:val="20"/>
                <w:szCs w:val="20"/>
                <w:highlight w:val="none"/>
                <w:lang w:bidi="ar"/>
              </w:rPr>
              <w:t>≥</w:t>
            </w:r>
            <w:r>
              <w:rPr>
                <w:rFonts w:ascii="宋体" w:hAnsi="宋体" w:eastAsia="宋体" w:cs="宋体"/>
                <w:color w:val="auto"/>
                <w:kern w:val="0"/>
                <w:sz w:val="20"/>
                <w:szCs w:val="20"/>
                <w:highlight w:val="none"/>
                <w:lang w:bidi="ar"/>
              </w:rPr>
              <w:t>530-910mm</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4.00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吊架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6"/>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大臂架或吊链</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2.安装音箱用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8.00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19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音箱线配件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7"/>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国标</w:t>
            </w:r>
            <w:r>
              <w:rPr>
                <w:rFonts w:ascii="宋体" w:hAnsi="宋体" w:eastAsia="宋体" w:cs="宋体"/>
                <w:color w:val="auto"/>
                <w:kern w:val="0"/>
                <w:sz w:val="20"/>
                <w:szCs w:val="20"/>
                <w:highlight w:val="none"/>
                <w:lang w:bidi="ar"/>
              </w:rPr>
              <w:t>2*1.5mm平方无氧铜</w:t>
            </w:r>
          </w:p>
          <w:p>
            <w:pPr>
              <w:widowControl/>
              <w:numPr>
                <w:ilvl w:val="0"/>
                <w:numId w:val="7"/>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音王国标接插件：卡侬头、大两芯、大三芯、莲花头、航空头等</w:t>
            </w:r>
          </w:p>
          <w:p>
            <w:pPr>
              <w:widowControl/>
              <w:numPr>
                <w:ilvl w:val="0"/>
                <w:numId w:val="7"/>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话筒线、电源线、音频跳线，要求全部为国标纯铜</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4.PVC槽管等</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400.00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面光灯</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1.通道模式：DMX512</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#2.通道数量：1/2/3/5个DMX通道</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3.控制模式：自走、主从</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4.透镜角度：35°、75°可选</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5.频闪：1-10次/每秒</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技术参数：</w:t>
            </w:r>
            <w:r>
              <w:rPr>
                <w:rFonts w:ascii="宋体" w:hAnsi="宋体" w:eastAsia="宋体" w:cs="宋体"/>
                <w:color w:val="auto"/>
                <w:kern w:val="0"/>
                <w:sz w:val="20"/>
                <w:szCs w:val="20"/>
                <w:highlight w:val="none"/>
                <w:lang w:bidi="ar"/>
              </w:rPr>
              <w:t>#1.功率：250W</w:t>
            </w:r>
          </w:p>
          <w:p>
            <w:pPr>
              <w:widowControl/>
              <w:jc w:val="left"/>
              <w:textAlignment w:val="center"/>
              <w:rPr>
                <w:rFonts w:ascii="宋体" w:hAnsi="宋体" w:eastAsia="宋体" w:cs="宋体"/>
                <w:color w:val="auto"/>
                <w:sz w:val="20"/>
                <w:szCs w:val="20"/>
                <w:highlight w:val="none"/>
              </w:rPr>
            </w:pPr>
            <w:r>
              <w:rPr>
                <w:rFonts w:ascii="宋体" w:hAnsi="宋体" w:cs="宋体"/>
                <w:color w:val="auto"/>
                <w:kern w:val="0"/>
                <w:sz w:val="20"/>
                <w:szCs w:val="20"/>
                <w:highlight w:val="none"/>
                <w:lang w:bidi="ar"/>
              </w:rPr>
              <w:t>6</w:t>
            </w:r>
            <w:r>
              <w:rPr>
                <w:rFonts w:ascii="宋体" w:hAnsi="宋体" w:eastAsia="宋体" w:cs="宋体"/>
                <w:color w:val="auto"/>
                <w:kern w:val="0"/>
                <w:sz w:val="20"/>
                <w:szCs w:val="20"/>
                <w:highlight w:val="none"/>
                <w:lang w:bidi="ar"/>
              </w:rPr>
              <w:t>.光源：</w:t>
            </w:r>
            <w:r>
              <w:rPr>
                <w:rFonts w:hint="eastAsia" w:ascii="宋体" w:hAnsi="宋体" w:cs="宋体"/>
                <w:color w:val="auto"/>
                <w:kern w:val="0"/>
                <w:sz w:val="20"/>
                <w:szCs w:val="20"/>
                <w:highlight w:val="none"/>
                <w:lang w:bidi="ar"/>
              </w:rPr>
              <w:t>≥</w:t>
            </w:r>
            <w:r>
              <w:rPr>
                <w:rFonts w:ascii="宋体" w:hAnsi="宋体" w:eastAsia="宋体" w:cs="宋体"/>
                <w:color w:val="auto"/>
                <w:kern w:val="0"/>
                <w:sz w:val="20"/>
                <w:szCs w:val="20"/>
                <w:highlight w:val="none"/>
                <w:lang w:bidi="ar"/>
              </w:rPr>
              <w:t>200WLED灯珠</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12.00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LED染色灯</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w:t>
            </w:r>
            <w:r>
              <w:rPr>
                <w:rFonts w:hint="eastAsia" w:ascii="宋体" w:hAnsi="宋体" w:eastAsia="宋体" w:cs="宋体"/>
                <w:color w:val="auto"/>
                <w:kern w:val="0"/>
                <w:sz w:val="20"/>
                <w:szCs w:val="20"/>
                <w:highlight w:val="none"/>
                <w:lang w:bidi="ar"/>
              </w:rPr>
              <w:t>通道模式：</w:t>
            </w:r>
            <w:r>
              <w:rPr>
                <w:rFonts w:ascii="宋体" w:hAnsi="宋体" w:eastAsia="宋体" w:cs="宋体"/>
                <w:color w:val="auto"/>
                <w:kern w:val="0"/>
                <w:sz w:val="20"/>
                <w:szCs w:val="20"/>
                <w:highlight w:val="none"/>
                <w:lang w:bidi="ar"/>
              </w:rPr>
              <w:t>DMX512</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2.通道数量：8个DMX模式控制</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3.控制模式：内置程序，主从机模式声控</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4.效果介绍：七彩渐变，跳变，脉变调焦</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技术参数：</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1.电源电压/频率：AC100-240V50/60Hz</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#2.功率：</w:t>
            </w:r>
            <w:r>
              <w:rPr>
                <w:rFonts w:hint="eastAsia" w:ascii="宋体" w:hAnsi="宋体" w:cs="宋体"/>
                <w:color w:val="auto"/>
                <w:kern w:val="0"/>
                <w:sz w:val="20"/>
                <w:szCs w:val="20"/>
                <w:highlight w:val="none"/>
                <w:lang w:bidi="ar"/>
              </w:rPr>
              <w:t>≥</w:t>
            </w:r>
            <w:r>
              <w:rPr>
                <w:rFonts w:ascii="宋体" w:hAnsi="宋体" w:eastAsia="宋体" w:cs="宋体"/>
                <w:color w:val="auto"/>
                <w:kern w:val="0"/>
                <w:sz w:val="20"/>
                <w:szCs w:val="20"/>
                <w:highlight w:val="none"/>
                <w:lang w:bidi="ar"/>
              </w:rPr>
              <w:t>180W</w:t>
            </w:r>
          </w:p>
          <w:p>
            <w:pPr>
              <w:widowControl/>
              <w:jc w:val="lef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3.光源：</w:t>
            </w:r>
            <w:r>
              <w:rPr>
                <w:rFonts w:hint="eastAsia" w:ascii="宋体" w:hAnsi="宋体" w:cs="宋体"/>
                <w:color w:val="auto"/>
                <w:kern w:val="0"/>
                <w:sz w:val="20"/>
                <w:szCs w:val="20"/>
                <w:highlight w:val="none"/>
                <w:lang w:bidi="ar"/>
              </w:rPr>
              <w:t>≥</w:t>
            </w:r>
            <w:r>
              <w:rPr>
                <w:rFonts w:ascii="宋体" w:hAnsi="宋体" w:eastAsia="宋体" w:cs="宋体"/>
                <w:color w:val="auto"/>
                <w:kern w:val="0"/>
                <w:sz w:val="20"/>
                <w:szCs w:val="20"/>
                <w:highlight w:val="none"/>
                <w:lang w:bidi="ar"/>
              </w:rPr>
              <w:t>54颗1W/3WLEDR,G,B,W</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4.外观：压铸铝</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8.00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电脑灯控制台</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8"/>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额定电压：</w:t>
            </w:r>
            <w:r>
              <w:rPr>
                <w:rFonts w:ascii="宋体" w:hAnsi="宋体" w:eastAsia="宋体" w:cs="宋体"/>
                <w:color w:val="auto"/>
                <w:kern w:val="0"/>
                <w:sz w:val="20"/>
                <w:szCs w:val="20"/>
                <w:highlight w:val="none"/>
                <w:lang w:bidi="ar"/>
              </w:rPr>
              <w:t>AC100-240V</w:t>
            </w:r>
          </w:p>
          <w:p>
            <w:pPr>
              <w:widowControl/>
              <w:numPr>
                <w:ilvl w:val="0"/>
                <w:numId w:val="8"/>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产品尺寸：</w:t>
            </w:r>
            <w:r>
              <w:rPr>
                <w:rFonts w:ascii="宋体" w:hAnsi="宋体" w:eastAsia="宋体" w:cs="宋体"/>
                <w:color w:val="auto"/>
                <w:kern w:val="0"/>
                <w:sz w:val="20"/>
                <w:szCs w:val="20"/>
                <w:highlight w:val="none"/>
                <w:lang w:bidi="ar"/>
              </w:rPr>
              <w:t>485*250*85mm</w:t>
            </w:r>
          </w:p>
          <w:p>
            <w:pPr>
              <w:widowControl/>
              <w:numPr>
                <w:ilvl w:val="0"/>
                <w:numId w:val="8"/>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产品净重：</w:t>
            </w:r>
            <w:r>
              <w:rPr>
                <w:rFonts w:ascii="宋体" w:hAnsi="宋体" w:eastAsia="宋体" w:cs="宋体"/>
                <w:color w:val="auto"/>
                <w:kern w:val="0"/>
                <w:sz w:val="20"/>
                <w:szCs w:val="20"/>
                <w:highlight w:val="none"/>
                <w:lang w:bidi="ar"/>
              </w:rPr>
              <w:t>2.84KG</w:t>
            </w:r>
          </w:p>
          <w:p>
            <w:pPr>
              <w:widowControl/>
              <w:jc w:val="left"/>
              <w:textAlignment w:val="center"/>
              <w:rPr>
                <w:rFonts w:ascii="宋体" w:hAnsi="宋体" w:eastAsia="宋体" w:cs="宋体"/>
                <w:color w:val="auto"/>
                <w:kern w:val="0"/>
                <w:sz w:val="20"/>
                <w:szCs w:val="20"/>
                <w:highlight w:val="none"/>
                <w:lang w:bidi="ar"/>
              </w:rPr>
            </w:pPr>
            <w:r>
              <w:rPr>
                <w:rFonts w:ascii="宋体" w:hAnsi="宋体" w:cs="宋体"/>
                <w:color w:val="auto"/>
                <w:kern w:val="0"/>
                <w:sz w:val="20"/>
                <w:szCs w:val="20"/>
                <w:highlight w:val="none"/>
                <w:lang w:bidi="ar"/>
              </w:rPr>
              <w:t>4.</w:t>
            </w:r>
            <w:r>
              <w:rPr>
                <w:rFonts w:hint="eastAsia" w:ascii="宋体" w:hAnsi="宋体" w:eastAsia="宋体" w:cs="宋体"/>
                <w:color w:val="auto"/>
                <w:kern w:val="0"/>
                <w:sz w:val="20"/>
                <w:szCs w:val="20"/>
                <w:highlight w:val="none"/>
                <w:lang w:bidi="ar"/>
              </w:rPr>
              <w:t>产品毛重：</w:t>
            </w:r>
            <w:r>
              <w:rPr>
                <w:rFonts w:ascii="宋体" w:hAnsi="宋体" w:eastAsia="宋体" w:cs="宋体"/>
                <w:color w:val="auto"/>
                <w:kern w:val="0"/>
                <w:sz w:val="20"/>
                <w:szCs w:val="20"/>
                <w:highlight w:val="none"/>
                <w:lang w:bidi="ar"/>
              </w:rPr>
              <w:t>3.45KG</w:t>
            </w:r>
          </w:p>
          <w:p>
            <w:pPr>
              <w:widowControl/>
              <w:jc w:val="left"/>
              <w:textAlignment w:val="center"/>
              <w:rPr>
                <w:rFonts w:ascii="宋体" w:hAnsi="宋体" w:eastAsia="宋体" w:cs="宋体"/>
                <w:color w:val="auto"/>
                <w:sz w:val="20"/>
                <w:szCs w:val="20"/>
                <w:highlight w:val="none"/>
              </w:rPr>
            </w:pPr>
            <w:r>
              <w:rPr>
                <w:rFonts w:ascii="宋体" w:hAnsi="宋体" w:cs="宋体"/>
                <w:color w:val="auto"/>
                <w:kern w:val="0"/>
                <w:sz w:val="20"/>
                <w:szCs w:val="20"/>
                <w:highlight w:val="none"/>
                <w:lang w:bidi="ar"/>
              </w:rPr>
              <w:t>#5.</w:t>
            </w:r>
            <w:r>
              <w:rPr>
                <w:rFonts w:hint="eastAsia" w:ascii="宋体" w:hAnsi="宋体" w:eastAsia="宋体" w:cs="宋体"/>
                <w:color w:val="auto"/>
                <w:kern w:val="0"/>
                <w:sz w:val="20"/>
                <w:szCs w:val="20"/>
                <w:highlight w:val="none"/>
                <w:lang w:bidi="ar"/>
              </w:rPr>
              <w:t>调光通道：</w:t>
            </w:r>
            <w:r>
              <w:rPr>
                <w:rFonts w:ascii="宋体" w:hAnsi="宋体" w:eastAsia="宋体" w:cs="宋体"/>
                <w:color w:val="auto"/>
                <w:kern w:val="0"/>
                <w:sz w:val="20"/>
                <w:szCs w:val="20"/>
                <w:highlight w:val="none"/>
                <w:lang w:bidi="ar"/>
              </w:rPr>
              <w:t>16通道</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23</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电源线</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9"/>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国标</w:t>
            </w:r>
            <w:r>
              <w:rPr>
                <w:rFonts w:ascii="宋体" w:hAnsi="宋体" w:eastAsia="宋体" w:cs="宋体"/>
                <w:color w:val="auto"/>
                <w:kern w:val="0"/>
                <w:sz w:val="20"/>
                <w:szCs w:val="20"/>
                <w:highlight w:val="none"/>
                <w:lang w:bidi="ar"/>
              </w:rPr>
              <w:t>RVV2*2.5平方纯铜</w:t>
            </w:r>
            <w:r>
              <w:rPr>
                <w:rFonts w:hint="eastAsia" w:ascii="宋体" w:hAnsi="宋体" w:cs="宋体"/>
                <w:color w:val="auto"/>
                <w:kern w:val="0"/>
                <w:sz w:val="20"/>
                <w:szCs w:val="20"/>
                <w:highlight w:val="none"/>
                <w:lang w:bidi="ar"/>
              </w:rPr>
              <w:t>；</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2.辅料（铝合金灯勾，保险链，卡侬头，10A/40A电木插头)</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600.00 </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24</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信号线</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1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国标纯铜</w:t>
            </w:r>
          </w:p>
          <w:p>
            <w:pPr>
              <w:widowControl/>
              <w:numPr>
                <w:ilvl w:val="0"/>
                <w:numId w:val="10"/>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设备间连线</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3.128网</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200.00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25</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舞台灯光架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11"/>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国标寸</w:t>
            </w:r>
            <w:r>
              <w:rPr>
                <w:rFonts w:ascii="宋体" w:hAnsi="宋体" w:eastAsia="宋体" w:cs="宋体"/>
                <w:color w:val="auto"/>
                <w:kern w:val="0"/>
                <w:sz w:val="20"/>
                <w:szCs w:val="20"/>
                <w:highlight w:val="none"/>
                <w:lang w:bidi="ar"/>
              </w:rPr>
              <w:t>5铁管</w:t>
            </w:r>
          </w:p>
          <w:p>
            <w:pPr>
              <w:widowControl/>
              <w:numPr>
                <w:ilvl w:val="0"/>
                <w:numId w:val="11"/>
              </w:numPr>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6道杆</w:t>
            </w:r>
          </w:p>
          <w:p>
            <w:pPr>
              <w:widowControl/>
              <w:numPr>
                <w:ilvl w:val="0"/>
                <w:numId w:val="11"/>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考虑屋顶承重并加强龙骨</w:t>
            </w:r>
          </w:p>
          <w:p>
            <w:pPr>
              <w:widowControl/>
              <w:numPr>
                <w:ilvl w:val="0"/>
                <w:numId w:val="11"/>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做防锈处理</w:t>
            </w:r>
          </w:p>
          <w:p>
            <w:pPr>
              <w:widowControl/>
              <w:numPr>
                <w:ilvl w:val="0"/>
                <w:numId w:val="11"/>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固定牢固</w:t>
            </w:r>
          </w:p>
          <w:p>
            <w:pPr>
              <w:widowControl/>
              <w:numPr>
                <w:ilvl w:val="0"/>
                <w:numId w:val="11"/>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安全可靠</w:t>
            </w:r>
          </w:p>
          <w:p>
            <w:pPr>
              <w:widowControl/>
              <w:numPr>
                <w:ilvl w:val="0"/>
                <w:numId w:val="11"/>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方便挂灯走线及挂灯</w:t>
            </w:r>
          </w:p>
          <w:p>
            <w:pPr>
              <w:widowControl/>
              <w:jc w:val="left"/>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8.散热好</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道</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ascii="宋体" w:hAnsi="宋体" w:eastAsia="宋体" w:cs="宋体"/>
                <w:color w:val="auto"/>
                <w:kern w:val="0"/>
                <w:sz w:val="20"/>
                <w:szCs w:val="20"/>
                <w:highlight w:val="none"/>
                <w:lang w:bidi="ar"/>
              </w:rPr>
              <w:t xml:space="preserve">4.00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26</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全彩LED显示屏</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全彩LED高刷显示屏</w:t>
            </w:r>
            <w:r>
              <w:rPr>
                <w:rFonts w:hint="eastAsia" w:ascii="宋体" w:hAnsi="宋体" w:eastAsia="宋体" w:cs="宋体"/>
                <w:i w:val="0"/>
                <w:iCs w:val="0"/>
                <w:color w:val="000000"/>
                <w:kern w:val="0"/>
                <w:sz w:val="20"/>
                <w:szCs w:val="20"/>
                <w:highlight w:val="none"/>
                <w:u w:val="none"/>
                <w:lang w:val="en-US" w:eastAsia="zh-CN" w:bidi="ar"/>
              </w:rPr>
              <w:t>（每所幼儿园屏幕约4*3m，根据现场实际情况调整）</w:t>
            </w:r>
          </w:p>
          <w:p>
            <w:pPr>
              <w:widowControl/>
              <w:numPr>
                <w:ilvl w:val="0"/>
                <w:numId w:val="12"/>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配置：配套电源、</w:t>
            </w:r>
            <w:r>
              <w:rPr>
                <w:rFonts w:hint="eastAsia" w:ascii="宋体" w:hAnsi="宋体" w:eastAsia="宋体" w:cs="宋体"/>
                <w:i w:val="0"/>
                <w:iCs w:val="0"/>
                <w:color w:val="000000"/>
                <w:kern w:val="0"/>
                <w:sz w:val="20"/>
                <w:szCs w:val="20"/>
                <w:highlight w:val="none"/>
                <w:u w:val="none"/>
                <w:lang w:val="en-US" w:eastAsia="zh-CN" w:bidi="ar"/>
              </w:rPr>
              <w:t>电缆、</w:t>
            </w:r>
            <w:r>
              <w:rPr>
                <w:rFonts w:hint="eastAsia" w:ascii="宋体" w:hAnsi="宋体" w:eastAsia="宋体" w:cs="宋体"/>
                <w:color w:val="auto"/>
                <w:kern w:val="0"/>
                <w:sz w:val="20"/>
                <w:szCs w:val="20"/>
                <w:highlight w:val="none"/>
                <w:lang w:bidi="ar"/>
              </w:rPr>
              <w:t>配电箱，备用板4张等</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#3.规格Q2.5室内表贴节能全彩LED屏，产品单元板规格点数为64*128点；高刷3840HZ</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#4.像数点间距2.5mm像素密度160000Dots/㎡像素构成1R1G1B</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5.灯管封装2020</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6.尺寸(长*宽*厚)320*160*15cm重量0.45kg±0.01kg</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7.结构特点灯驱合一</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8.单元板分辨率128*64=8192Dots输入电压(直流)4.5±0.1V</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9.最大电流≤5.2A单元板功率≤24W</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10.驱动方式1/32恒流驱动40A电源带单元板数5-6张亮度≥600cd/㎡</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11.亮度均匀性＞0.95</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12.屏幕水平视角140±10度屏幕垂直视角130±10度最佳视距≥2.5m</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13.使用环境室内</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14.每平方单元板最大功率≤457W/㎡</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15.配电功率（每平方最大功率÷78%÷85%）≤689W/m2灰度等级红、绿、蓝各14-16bits</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16.显示颜色43980亿种换帧频率≥60帧/秒刷新频率≥3840Hz</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17.控制方式计算机控制，逐点一一对应，视频同步，实时显示</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18.亮度调节256级手动/自动</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19.输入信号DVI/VGA，视频(多种制式)RGBHV、复合视频信号、S-VIDEOYpbPr(HDTV)</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20.使用寿命≥10万小时</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21.平均无故障时间≥1万小时衰减率(工作3年)≤15％连续失控点0</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22.离散失控点＜0.0001，出厂时为0</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23.盲点率</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24.＜0.0003，出厂时为0工作温度范围-20-40℃</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25.工作湿度范围10％-65％RH(无结露)</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26.防护性能超温/过载/掉电/图像补偿/各种校正技术/过流/过压</w:t>
            </w:r>
            <w:r>
              <w:rPr>
                <w:rFonts w:hint="eastAsia" w:ascii="宋体" w:hAnsi="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防雷(可选项)</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rPr>
              <w:t>㎡</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 xml:space="preserve">24.00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rPr>
              <w:t>27</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接收卡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#1.集成HUB75，无需再配转接板，更方便，成本更低；减少接插连接件，减少故障点，故障率更低</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2.支持常规芯片实现高刷新、高灰度、高亮度；全新灰度引擎，低灰度表现更佳</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3.细节处理更完美，可消除单元板设计引起的某行偏暗、低灰偏红、鬼影等细节问题</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4.支持14bit精度逐点校正</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5.支持所有常规芯片、PWM芯片和灯饰芯片</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6.支持静态屏、1/2~1/32扫之间的任意扫描类型</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7.支持任意抽点，支持数据偏移，可轻松实现各种异型屏、球形屏、创意显示屏；</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8.单卡支持32组RGB信号输出</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9.支持超大带载面积</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10.先进设计，优质元器件，全自动高低温老化测试，零故障出厂</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11.支持DC3.3V~6V超宽工作电压，有效减弱电压波动带来的影响</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12.支持电源反接保护电路</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38.00 </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28</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视频处理器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13"/>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专业级LED显示屏控制设备</w:t>
            </w:r>
          </w:p>
          <w:p>
            <w:pPr>
              <w:widowControl/>
              <w:numPr>
                <w:ilvl w:val="0"/>
                <w:numId w:val="13"/>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具备强大的视频信号接收和处理能力，最大可接收1920×1200像素的高清数字信号</w:t>
            </w:r>
            <w:r>
              <w:rPr>
                <w:rFonts w:hint="eastAsia" w:ascii="宋体" w:hAnsi="宋体" w:eastAsia="宋体" w:cs="宋体"/>
                <w:i w:val="0"/>
                <w:iCs w:val="0"/>
                <w:color w:val="000000"/>
                <w:kern w:val="0"/>
                <w:sz w:val="20"/>
                <w:szCs w:val="20"/>
                <w:highlight w:val="none"/>
                <w:u w:val="none"/>
                <w:lang w:val="en-US" w:eastAsia="zh-CN" w:bidi="ar"/>
              </w:rPr>
              <w:t>，与LED屏幕分辨率匹配</w:t>
            </w:r>
          </w:p>
          <w:p>
            <w:pPr>
              <w:widowControl/>
              <w:numPr>
                <w:ilvl w:val="0"/>
                <w:numId w:val="13"/>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支持HDMI和DVI高清数字接口，多路信号间无缝切换；支持视频源任意缩放和裁剪</w:t>
            </w:r>
          </w:p>
          <w:p>
            <w:pPr>
              <w:widowControl/>
              <w:numPr>
                <w:ilvl w:val="255"/>
                <w:numId w:val="0"/>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具备2个千兆网口输出，单机可支持最宽4096像素或最高2560像素的LED显示屏，同时具备一系列丰富实用的功能，提供灵活的屏幕控制和高品质的图像显示，具有2类视频输入接口，包括1路HDMI和2路DVI；最大输入分辨率1920×1200@60Hz，支持分辨率任意设置</w:t>
            </w:r>
          </w:p>
          <w:p>
            <w:pPr>
              <w:widowControl/>
              <w:numPr>
                <w:ilvl w:val="255"/>
                <w:numId w:val="0"/>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r>
              <w:rPr>
                <w:rFonts w:hint="eastAsia" w:ascii="宋体" w:hAnsi="宋体" w:eastAsia="宋体" w:cs="宋体"/>
                <w:i w:val="0"/>
                <w:iCs w:val="0"/>
                <w:color w:val="000000"/>
                <w:kern w:val="0"/>
                <w:sz w:val="20"/>
                <w:szCs w:val="20"/>
                <w:highlight w:val="none"/>
                <w:u w:val="none"/>
                <w:lang w:val="en-US" w:eastAsia="zh-CN" w:bidi="ar"/>
              </w:rPr>
              <w:t>带载像素数量与所选屏幕一致。</w:t>
            </w:r>
            <w:r>
              <w:rPr>
                <w:rFonts w:hint="eastAsia" w:ascii="宋体" w:hAnsi="宋体" w:eastAsia="宋体" w:cs="宋体"/>
                <w:color w:val="auto"/>
                <w:kern w:val="0"/>
                <w:sz w:val="20"/>
                <w:szCs w:val="20"/>
                <w:highlight w:val="none"/>
                <w:lang w:bidi="ar"/>
              </w:rPr>
              <w:t>最大带载131万像素，最宽可达4096点，或最高可达2560点</w:t>
            </w:r>
          </w:p>
          <w:p>
            <w:pPr>
              <w:widowControl/>
              <w:numPr>
                <w:ilvl w:val="255"/>
                <w:numId w:val="0"/>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6.支持视频源任意切换，缩放和裁剪</w:t>
            </w:r>
          </w:p>
          <w:p>
            <w:pPr>
              <w:widowControl/>
              <w:numPr>
                <w:ilvl w:val="255"/>
                <w:numId w:val="0"/>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7.支持画面偏移</w:t>
            </w:r>
          </w:p>
          <w:p>
            <w:pPr>
              <w:widowControl/>
              <w:numPr>
                <w:ilvl w:val="255"/>
                <w:numId w:val="0"/>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8.双USB2.0高速通讯接口，用于电脑调试和主控间任意级联</w:t>
            </w:r>
          </w:p>
          <w:p>
            <w:pPr>
              <w:widowControl/>
              <w:numPr>
                <w:ilvl w:val="255"/>
                <w:numId w:val="0"/>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9.支持亮度和色温调节</w:t>
            </w:r>
          </w:p>
          <w:p>
            <w:pPr>
              <w:widowControl/>
              <w:numPr>
                <w:ilvl w:val="255"/>
                <w:numId w:val="0"/>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10.支持低亮高灰</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11.支持HDCP1.1</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2.00 </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29</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电源线</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1.国标3*2.5平方纯铜</w:t>
            </w:r>
            <w:r>
              <w:rPr>
                <w:rFonts w:hint="eastAsia" w:ascii="宋体" w:hAnsi="宋体" w:cs="宋体"/>
                <w:color w:val="auto"/>
                <w:kern w:val="0"/>
                <w:sz w:val="20"/>
                <w:szCs w:val="20"/>
                <w:highlight w:val="none"/>
                <w:lang w:bidi="ar"/>
              </w:rPr>
              <w:t>；</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2.辅料（铝合金灯勾，保险链，卡侬头，10A/40A电木插头)</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rPr>
              <w:t>米</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2320.00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30</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网线</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14"/>
              </w:numPr>
              <w:jc w:val="left"/>
              <w:textAlignment w:val="center"/>
              <w:rPr>
                <w:rFonts w:ascii="宋体" w:hAnsi="宋体" w:eastAsia="宋体" w:cs="宋体"/>
                <w:color w:val="auto"/>
                <w:kern w:val="0"/>
                <w:sz w:val="20"/>
                <w:szCs w:val="20"/>
                <w:highlight w:val="none"/>
                <w:lang w:bidi="ar"/>
              </w:rPr>
            </w:pPr>
            <w:r>
              <w:rPr>
                <w:rFonts w:hint="eastAsia" w:ascii="宋体" w:hAnsi="宋体" w:cs="宋体"/>
                <w:color w:val="auto"/>
                <w:kern w:val="0"/>
                <w:sz w:val="20"/>
                <w:szCs w:val="20"/>
                <w:highlight w:val="none"/>
                <w:lang w:bidi="ar"/>
              </w:rPr>
              <w:t>≥</w:t>
            </w:r>
            <w:r>
              <w:rPr>
                <w:rFonts w:hint="eastAsia" w:ascii="宋体" w:hAnsi="宋体" w:eastAsia="宋体" w:cs="宋体"/>
                <w:color w:val="auto"/>
                <w:kern w:val="0"/>
                <w:sz w:val="20"/>
                <w:szCs w:val="20"/>
                <w:highlight w:val="none"/>
                <w:lang w:bidi="ar"/>
              </w:rPr>
              <w:t>4*2*0.50mm国标纯铜超五类网线</w:t>
            </w:r>
          </w:p>
          <w:p>
            <w:pPr>
              <w:widowControl/>
              <w:numPr>
                <w:ilvl w:val="0"/>
                <w:numId w:val="14"/>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符合相关行业标准</w:t>
            </w:r>
          </w:p>
          <w:p>
            <w:pPr>
              <w:widowControl/>
              <w:numPr>
                <w:ilvl w:val="0"/>
                <w:numId w:val="14"/>
              </w:numPr>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用于各点到位蓝色</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4.蓝色305米/箱</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rPr>
              <w:t>箱</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5.00 </w:t>
            </w:r>
          </w:p>
        </w:tc>
      </w:tr>
      <w:tr>
        <w:tblPrEx>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31</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PVC线管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15"/>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国标PVC线管及配件</w:t>
            </w:r>
          </w:p>
          <w:p>
            <w:pPr>
              <w:widowControl/>
              <w:numPr>
                <w:ilvl w:val="0"/>
                <w:numId w:val="15"/>
              </w:numPr>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配有扎带,膨胀螺丝,自攻丝,胀丝,胶布</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rPr>
              <w:t>米</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464.00 </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32</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系统服务费</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numPr>
                <w:ilvl w:val="0"/>
                <w:numId w:val="16"/>
              </w:numPr>
              <w:ind w:left="0" w:leftChars="0" w:firstLine="0" w:firstLineChars="0"/>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含屏体结构方管材料，含上述未列出的配套电源线、网线、水晶头，线槽等</w:t>
            </w:r>
          </w:p>
          <w:p>
            <w:pPr>
              <w:widowControl/>
              <w:numPr>
                <w:ilvl w:val="0"/>
                <w:numId w:val="16"/>
              </w:numPr>
              <w:ind w:left="0" w:leftChars="0" w:firstLine="0" w:firstLineChars="0"/>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外框包边材料5cm</w:t>
            </w:r>
          </w:p>
          <w:p>
            <w:pPr>
              <w:widowControl/>
              <w:numPr>
                <w:ilvl w:val="0"/>
                <w:numId w:val="16"/>
              </w:numPr>
              <w:ind w:left="0" w:leftChars="0" w:firstLine="0" w:firstLineChars="0"/>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屏体结构制作</w:t>
            </w:r>
          </w:p>
          <w:p>
            <w:pPr>
              <w:widowControl/>
              <w:numPr>
                <w:ilvl w:val="0"/>
                <w:numId w:val="16"/>
              </w:numPr>
              <w:ind w:left="0" w:leftChars="0" w:firstLine="0" w:firstLineChars="0"/>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网线电缆布线</w:t>
            </w:r>
          </w:p>
          <w:p>
            <w:pPr>
              <w:widowControl/>
              <w:numPr>
                <w:ilvl w:val="0"/>
                <w:numId w:val="16"/>
              </w:numPr>
              <w:ind w:left="0" w:leftChars="0" w:firstLine="0" w:firstLineChars="0"/>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运输</w:t>
            </w:r>
          </w:p>
          <w:p>
            <w:pPr>
              <w:widowControl/>
              <w:numPr>
                <w:ilvl w:val="0"/>
                <w:numId w:val="16"/>
              </w:numPr>
              <w:ind w:left="0" w:leftChars="0" w:firstLine="0" w:firstLineChars="0"/>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设备安装</w:t>
            </w:r>
          </w:p>
          <w:p>
            <w:pPr>
              <w:widowControl/>
              <w:numPr>
                <w:ilvl w:val="0"/>
                <w:numId w:val="16"/>
              </w:numPr>
              <w:ind w:left="0" w:leftChars="0" w:firstLine="0" w:firstLineChars="0"/>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系统调试</w:t>
            </w:r>
          </w:p>
          <w:p>
            <w:pPr>
              <w:widowControl/>
              <w:numPr>
                <w:ilvl w:val="0"/>
                <w:numId w:val="16"/>
              </w:numPr>
              <w:ind w:left="0" w:leftChars="0" w:firstLine="0" w:firstLineChars="0"/>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培训</w:t>
            </w:r>
          </w:p>
          <w:p>
            <w:pPr>
              <w:widowControl/>
              <w:numPr>
                <w:ilvl w:val="0"/>
                <w:numId w:val="16"/>
              </w:numPr>
              <w:ind w:left="0" w:leftChars="0" w:firstLine="0" w:firstLineChars="0"/>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系统售后服务费</w:t>
            </w:r>
          </w:p>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10.含一切不可预估的事宜</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sz w:val="20"/>
                <w:szCs w:val="20"/>
                <w:highlight w:val="none"/>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2.00 </w:t>
            </w:r>
          </w:p>
        </w:tc>
      </w:tr>
      <w:tr>
        <w:tblPrEx>
          <w:shd w:val="clear" w:color="auto" w:fill="FFFFFF" w:themeFill="background1"/>
          <w:tblCellMar>
            <w:top w:w="0" w:type="dxa"/>
            <w:left w:w="108" w:type="dxa"/>
            <w:bottom w:w="0" w:type="dxa"/>
            <w:right w:w="108" w:type="dxa"/>
          </w:tblCellMar>
        </w:tblPrEx>
        <w:trPr>
          <w:trHeight w:val="567"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b/>
                <w:bCs/>
                <w:color w:val="auto"/>
                <w:szCs w:val="32"/>
                <w:highlight w:val="none"/>
              </w:rPr>
            </w:pPr>
            <w:r>
              <w:rPr>
                <w:rFonts w:hint="eastAsia" w:ascii="宋体" w:hAnsi="宋体" w:eastAsia="宋体" w:cs="宋体"/>
                <w:b/>
                <w:bCs/>
                <w:color w:val="auto"/>
                <w:kern w:val="0"/>
                <w:szCs w:val="32"/>
                <w:highlight w:val="none"/>
                <w:lang w:bidi="ar"/>
              </w:rPr>
              <w:t>4、科学教室</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人体与健康</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DYJ601人体结构拼图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29*14.5*1.8cm，优质进口椴木，环保水性漆，木制拼图，由骨骼、内脏器官、肌肉、皮肤、衣服几部分组成，培养幼儿想象能力，动手能力，认知能力，成长能力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DYJ602神秘袋</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优质禾木，环保水性漆，内装球体、正方体、长方体、圆柱体、圆锥体等10种不同规格的立体几何形状物体，透过视觉和触觉，让孩子感知并了解几何立体形状的特征</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DYJ603牙齿模型</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15.5*16.5*14cm，优质PVC材质，恒牙结构，能清晰辨别结构，上颌和下颌部分，可自由张开、闭合，优质塑胶，学习牙齿的结构</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DYJ604注意力实验台</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22.8*8*17.5cm,优质塑胶，把传感器的圈圈套进电感迷宫轨道里面。沿着电感迷宫轨道走，如果传感器手柄碰到电感迷宫轨道时主机就会发出声音，指示灯也会闪起来，通过探究实验培养幼儿的注意力和手眼协调性，符合安全性检测标准</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DYJ605嗅觉筒</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19*11*9cm，优质进口椴木，环保水性漆，共两组，每组由6个可装固体和液体的木制圆筒和一个底座组成，培养孩子辨别各种气味的能力，符合环保类检测标准</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植物与动物</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DYJ606玉米标本</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225*185*50mm，精致天地盖盒包装有机玻璃包埋，共6块，包括玉米胚根、胚芽、胚轴和幼苗等，包埋材料重金属及有害化学物质含量执行国家有关安全标准，让幼儿探究玉米生长的过程</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DYJ607粮食家族</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225*185*50mm，精致天地盖盒包装有机玻璃包埋，共9块，分别是高粱，小麦，玉米，稻谷，薏米，糯米，粟，燕麦，荞麦9种人类的主要粮食标本，让幼儿了解粮食的多样性，认识不同的粮食的外形、颜色</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DYJ608豆子家族</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225*185*50mm，精致天地盖盒包装有机玻璃包埋，共9块，分别是9种不同农作物的豆子标本，让幼儿了解豆子的多样性，认识不同的豆子的外形、颜色</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DYJ609尖头铲</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20*7cm,冷轧钢板材质，卡通造型，工程塑胶柄部，环保烤漆，支持幼儿进行植物种植活动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DYJ610耙子</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18*7cm,冷轧钢板材质，卡通造型，工程塑胶柄部，环保烤漆，支持幼儿进行植物种植活动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DYJ611无土栽培套装</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20*16cm,PP+ABS材质，含罐体外壳、托水盘、内胆、麦饭石压板、量杯。支持幼儿进行豆芽的种植活动，无土栽培技术，5~7天即可成熟收获</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DYJ612植物标本相框</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20.5*15.5*4.5cm，有机玻璃+樟子松木，支持幼儿制作、展示植物标本，标本可自由取出、更换</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DYJ613母鸡成长过程拼图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17*17*5.2cm，共4层，包括母鸡和鸡蛋，通过探究能够极好地培养孩子的想象力、专注力、认知能力、动手能力、构图能力等等</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DYJ614会自我保护的动物</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225*185*50MM精致天地盖盒包装有机玻璃包埋，共8块，分别是竹节虫，海星，花蛤，招潮蟹，蝗虫，枯叶蝶，金龟子等8种具有自我保护功能的动物标本，让幼儿了解这些动物是如何保护自己的</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DYJ615蜻蜓成长记</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225*185*50mm精致天地盖盒包装有机玻璃包埋，共4块，分别代表了蜻蜓生长的4个典型过程，幼儿通过直观的观察可以了解到蜻蜓的成长史以及各阶段的身体特征</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DYJ616青蛙成长记</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225*185*50mm精致盒包装有机玻璃包埋，共7块，直观认知青蛙身体形态，生长过程，分别展示卵、小蝌蚪、尾消失期的幼娃、成蛙7个发育阶段。幼儿通过直观的观察可以了解到蜻蜓的成长史以及各阶段的身体特征</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DYJ617观察箱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14*7*10cm,ABS+亚克力材质，支持幼儿进行昆虫、鱼类等的养殖和观察活动，透明箱体，配有背带绳，箱体上方有1个放大镜观察孔和2个盖子可打开。配有1支昆虫夹</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DYJ618捕捉网</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85*19cm,不锈钢材质，手柄可自由伸缩，网口直径19cm。支持幼儿进行昆虫、鱼类的捕捉活动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水与空气</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DYJ619科研套装</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高品质环保塑料，包含1个试管支架21.5*8*4.7cm、2支短试管11*3.5cm、1支长试管16*3.7cm、1个烧杯20*9.7cm、1个大夹子14.8*5.5 cm、1个大滴管10*4cm、1个护目镜17.8*8.8*5.8cm、1个量杯9.5*7.2cm、1个漏斗8*7cm。帮助幼儿探究相关的科学现象</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DYJ620水槽</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31.5*24.2*9cm优质安全塑胶，容积2.5-5升,采用全新PP材料, 抗腐蚀,耐高温</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DYJ621食用色素</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5*1.5cm，包括红色和蓝色色素，容量10ml。支持幼儿在实验中给液体着色，使观察更加明显、有趣</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瓶</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DYJ622泡腾片</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14*3cm,内含10片食用泡腾片，供幼儿进行和水有关的实验，了解简单的化学反应</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瓶</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DYJ623气球</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乳胶材质，2.8g大号气球，1包100个。可供幼儿进行和水、空气有关的实验</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DYJ624小苏打</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14.5*6.5cm,容量450g，食用级小苏打。可供幼儿进行和水有关的实验，了解简单的化学反应</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瓶</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DYJ625一克勺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2*9cm，优质安全塑胶，用于精确称取小苏打，支持幼儿的实验</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DYJ626吸盘套装</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不少于9个拼装件。其中3个人字型，2个小棒棒，2个乐乐，1个嘟啦啦，1个皮皮。高品质环保塑胶，可拼接出各种造型。让幼儿感知空气的作用，激发幼儿想象力，锻炼幼儿手眼协调性</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DYJ627儿童空气炮</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19.5*15.5cm，优质安全塑料材质，含炮筒1个、耐磨鼓膜1个、皮筋扣2个、螺丝1个、皮筋1个、拉手组件1个、纸杯10个。支持幼儿探究空气现象，感受空气的力量</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光与声</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DYJ628手持显微镜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15.8*6.5cm,高品质环保塑料，放大倍率为20~40倍，可调节。带照明灯光。帮助幼儿观察身边物体的细节，激发幼儿好奇心，培养观察力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DYJ629万花筒</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20*3.7*3.2cm,可转头型万花筒分为两部分（手持部分和可转动部分）无需整体转动万花筒，更便于观看。用手转动转头，万花筒可以看到五彩缤纷的花式</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DYJ630放大镜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20*11cm,优质安全塑料，培养幼儿观察力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DYJ631卡通望远镜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14*13*10cm，卡通双筒望远镜、2倍放大、无需调焦、卡通造型，培养幼儿观察力，双眼瞳距可调，ABS+PVC+光学玻璃</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DYJ632专业显微镜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22*15*11cm，ABS材质。包含显微镜1台、标本切片1盒、手机支架1个、工具盒1个，3级调焦（40倍、160倍、640倍），支持手机拍照、录像。培养幼儿对微观世界的兴趣和观察力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DYJ633音叉</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14.3*9.2cm，优质松木音叉木盒1个，17.5cm的橡皮击槌1支，敲击音叉，会发出嗡嗡声，演示声音与振动的关系</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DYJ634幼儿变声器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15*11*11cm，优质安全塑料材质，大嘴巴造型，功能包括：男声、女声、机器人声、录音等，培养幼儿对声音的好奇心</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电与磁</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DYJ635电子积木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格40*27.5*4cm，环保ABS材质，子母扣连接，每套包含电池电源、开关、导线、灯泡、电动机、风扇等多种电子元件。可实现手控制、声控、光控、电控、磁控、触控灯多种控制方式。可以自由组装灯泡、风扇、警报、收音机等电路，不少于118种拼法</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DYJ636马蹄磁铁</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 6.3*9.5*2.5CM马蹄形，彩色安全塑胶外壳包裹铁氧体永磁材质。让幼儿探究南北极磁性</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DYJ637磁力钓鱼</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 30*22.4*0.8cm，优质木质材料环保油漆，拼插彩色图案鱼缸，21cm带绳的磁性钓鱼竿，配有若干条各种原木材质彩色卡通造型小鱼，用于探究磁性、空间和视觉能力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DYJ638液体磁铁</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12.5*3cm，环保级硅胶材质，内含航空级磁铁体，配有2个磁力手柄。通过操作可以实现液体磁铁的形变和位置变化，培养幼儿观察力和好奇心</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力与测量</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DYJ639多米诺骨牌</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优质100片，3*5*0.8cm认知多米诺骨牌，由动物和水果图案组成，培养了幼儿的创造力、增强自信心，用于探究力的传递和空间建构</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DYJ640闯关机关</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优质荷木，水性环保漆，由多种不同形状的机关组成，配合骨牌使用，提高幼儿探究兴趣，增强想象力，丰富多米诺的摆放形式</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DYJ641陀螺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5.5*5.5*5.5cm，优质木材，配有8张圆形卡片，可以探究力的平衡现象和颜色混合现象，培养幼儿观察力和动手能力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DYJ642天平</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优质PVC材质，32CM*8CM,托盘筒规格为直径10cm,由5G、10G、50G及游码组成，用于幼儿探究重量</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DYJ643温度计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14.5*9cm,卡通造型，环保塑胶背板，背板有温度刻度，测量范围0~50℃，，使用环境：-10度~60度，可以测水温，亦可测量室温</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DYJ644大沙漏</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8.4*16cm的透明安全塑胶外壳，透明塑胶瓶身，中间是一个8字型式的玻璃沙泡，彩色带时间标示的瓶盖，安全彩色沙粒，让幼儿探究沙子的流动性和时间</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工具与技术</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DYJ645工具箱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27*22*10CM，工具套装、螺丝刀一把，扳手一把，直尺一把，手锤一把，其他螺丝、螺丝等数种工具，拆装拼装可以幼儿的大肌肉得到锻炼、动手能力也得到了很大程度的加强，培养孩子的创造性思维的、想象力以及解决问题的能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DYJ646造纸机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 38*11.5*28.5cm，配有磨浆筒、造纸机身、滚印筒、夹板、滤网等，用废纸造出纸张，附送颜料、彩笔与造纸工具若干，让幼儿了解造纸术原理</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结构与机械</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DYJ647手摇榨汁机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28*26cm,分别由两用旋钮扳手，摇把，出汁口，出渣口等组成，让幼儿认识日用机械，体验榨汁的完整过程，培养幼儿观察力、动手能力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DYJ648滚珠积木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优质塑胶，大约70个左右不同造型颗粒，含有斜坡滑道、180度弯滑道等，配有安装地板，培养幼儿创造力、空间思维能力、动手能力、小组合作能力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DYJ649稻草人积木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ABS材质，20*17*6.5cm，包含底座、手柄、齿轮、轴、手臂等部件，可拼装齿轮传动造型及机械稻草人造型，培养幼儿动手能力和观察力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DYJ650积木收纳盒</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优质安全塑料，23*16*14cm，包括盒体和盖子，用于收纳积木或其他玩具</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DYJ6513D克隆手模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ABS材质，19.5*15*5cm，包括数百支细塑料棒，可通过外力调节其深浅，进而呈现各种各样的造型，培养幼儿好奇心、观察力和动手能力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季节与天气</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DYJ652四季认知时钟</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 29.5*29.5*1.5cm,优质木材，包括时钟、月份、日期、季节等记录区。培养幼儿观察天气的能力和记录能力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DYJ653气象站</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17*17cm，优质安全塑料，包括底座、指南针、风向标、风速计，可测量风向、风速，培养幼儿对天气现象的好奇，培养观察力</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地球与天文</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DYJ654地球仪</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直径14cm，塑胶材质可拆卸底座，由12条纸瓣纯手工黏贴而成，球胆、支架和底座均采用环保优质塑料，地图表面采用环保漆，各地形要素严格按照统一的比例设计，由国家测绘局审定；地球球面为彩色中文版式标准世界地图，含七大洲、四大洋、世界各国疆域及重要城市</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DYJ655中国磁性地图</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30*40*0.6cm,包含1块长方形木质底板和32块磁性板，支持幼儿探索中国的版图构成，培养幼儿观察力、手眼协调性</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DYJ656八大行星</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包含1个圆形空心底座，可盛放塑料球。1颗太阳、8颗行星。幼儿可探索太阳系的基本构成，初步认识八大行星</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综合展品系列</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DYJ657AR地球仪</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ABS+金属材质，高40cm,地球仪直径32cm，采用增强现实技术，通过手机下载软件，摄像头对准该AR地球仪，即可显示3D立体的图像，包括航天模式、森林模式、海洋模式等，可以更加直观地了解地球风貌</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DYJ658天文望远镜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高度125cm,铝合金外壳， 双镜头，带三脚架，反射式焦距:700mm,通光口径：60mm.配有3只目镜:H20mm,H12.5和SR4MM,最大放大倍率525.含1.5x正像镜，3x巴洛增倍镜，90度天顶镜，1.25米两段式铝合金三脚架１支，配筒型遮光罩１支，托盘１支</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DYJ659机器人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35*32.5*16.5cm，应用生物形态学制作，头部、手和脚部配有感应器，可以编程，眼部、手部会闪灯，能够接受人的指令做出反应，如抓取玩具筒、走路、跳舞等几十个动作，可以智能对话、唱歌、跳舞、说外语、科普知识学习。</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DYJ660棉花糖机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优质塑料材质， 25*25*18cm，功率500W,用于幼儿探究离心力和融化现象，需教师操作，供幼儿观察</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DYJ661千人震</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底座尺寸400*300*70mm,模具一体成型，两端呈弧形，上翘47度，两面四角注塑有1.5mm脚垫，长度25*25mm，仪器整体高度190mm，电源显示为一颗直径5mm的七色LED，LED装在一只180*120*6mm的小乌龟眼睛部位，小乌龟采用接插件安装，M4香蕉插座，便于安装与拆卸，电源使用3节7号电池，触电部位为两只铜制圆形触盘，触盘直径80mm，高度45mm，有启动，增大，减小3只按键，型号DS-425A，承载电压AC1-250V，电流600mA以下，了解电流通过人体时手指会握紧，胳膊会发生振动，证明人体也是导体，请同学们注意用电安全，符合安全性检测标准</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DYJ662莫尔条纹</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底座尺寸400*300*70mm,模具一体成型，两端呈弧形，上翘47度，两面四角注塑有1.5mm脚垫，长度25*25mm，仪器整体高度240mm，上面装有三角形像屏，每个角度60度，组成一个等边三角形，内部装有大功率高亮度LED，型号DC-3W，电流160mA,电压3.7V，配有一张220*160mm的黑色水纹片，线宽为2.2mm,缝宽0.5mm，电源采购采用5V安全电压，电流1A，电源开关型号KCD1-105-2，耐压250V，电流500mA，仪器后面装有电源接插件型号DC-5.5-2.5，方便接插，有神奇的吃豆豆，齿轮传动，三维空间，3种模式</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DYJ663人体导电轨道车</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底座尺寸400*300*70mm,底座上方是立体的轨道交通模型、电动传送带、惯性滑车等，使用前需要两节5号电池，将双手分别放置在两片金属片上即可通电。让幼儿感受人体导电现象，符合安全性检测标准</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DYJ664噪音测试仪</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底座尺寸400*300*70mm，底座上方为噪音显示器，包括灯柱及电子屏。打开开关，当有声音时，灯柱会亮，电子屏会显示声音的分贝数。声音越大，灯柱越高、分贝数越大。激发幼儿对声音现象的好奇心</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DYJ665辘轳井</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55*35*50cm.帮助幼儿了解古人的取水方法，观察并体验轱辘的取水过程，感受机械给生活带来的便利</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DYJ666纺线车</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70*35*50cm。帮助幼儿了解古人纺线的方式，观察防线车的结构，体验纺线的过程</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DYJ667碾子</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磨盘直径60cm，手柄长55cm,高30cm.帮助幼儿了解古人的生产生活方式，感受机械的发展变化，体验手推磨的操作方法</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DYJ668大型天平</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60*40cm，含有6个砝码，两个托盘，依据杠杆原理制成，但是与简易天平的结构不同：在杠杆的两端各吊一小盘，一端放砝码，另一端放要称的物体，杠杆中央装有指针，两端平衡时，指针垂直于地面</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DYJ669双人压井</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79.5*35*19.5cm,优质松木，优质水槽，由2组压井和4个水槽,1个松木底座组成，支杆，缸体，出水咀，出水阀门，进水阀门等观测抽水的原理</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DYJ670自来水系统</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50*58cm，含有2个水龙头，2个漏斗，2个水槽，2个阀门，自来水是幼儿日常生活中接触的，观察、探究自来水系统的构造有助于满足幼儿好奇心、培养幼儿观察力和动手操作能力。使用时，可以用容器将水从上方的两个漏斗倒入，通过旋转阀门可以改变水流的方向。使用色素会让视觉效果更明显，利于观察</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DYJ671织布机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38*25*32cm。帮助幼儿了解古人的织布方法，观察织布机的结构，体验织布机的操作，激发幼儿对传统文化与科技的兴趣</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配件</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DYJ672充电电池</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镍镉可充电电池，标准电压: 1.2，额定容量: 700毫安，外型尺寸: 14.5*50.5，循环寿命: 1000次,一套20节</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DYJ673充电器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 智能电池充电器 5号7号 两用可以 4通道同时充电</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DYJ674螺丝刀</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优质19.5CM十字螺丝刀，表面防滑防磁处理</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环创</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DYJ675四大领域牌</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亚克力材质，厚度2mm，宽30cm，高14cm，共4块，双面显示四大领域名称</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DYJ676主题环创墙</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PVC材质，环保材料全彩印刷，背胶裱画板包含不同规格的主题字及配图</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DYJ677教学内容环创墙</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PVC材质，环保材料全彩印刷，背胶裱画板，包含不同规格的科学宣传语、四大领域图、培养目标及实验器材配图</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DYJ678科学家环创墙</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PVC材质，环保材料全彩印刷，背胶裱画板，包含6张统一规格的中外科学家头像及文字介绍，齿轮造型</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主题箱</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DYJ679主题箱</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彩色PP材料，20*43.5*45cm，全封闭型防尘，抽屉透明，瓷白框，抗压，底部经络凹口和顶部凸口吻合，层数可以随心搭配，贴主题卡通图案标签</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220</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家具</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DYJ680方桌</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60*60*50cm,优质木质方桌，供幼儿进行桌面科学探究活动及摆放展品</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60</w:t>
            </w:r>
          </w:p>
        </w:tc>
      </w:tr>
      <w:tr>
        <w:tblPrEx>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DYJ681方格凳</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30*30*24cm木质方凳，优质木材，方格造型，使用方便，功能多样。单独使用时可供幼儿坐下、便于进行桌面探究；组合使用时可作为展示收纳架</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DYJ682木质小展柜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78*70*30CM，优质木材、白色拼装格子柜、4个方格，用于摆放产品</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DYJ683木质大展柜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118*70*30CM ，优质木材、白色拼装格子柜、6个格子，用于摆放产品</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r>
      <w:tr>
        <w:tblPrEx>
          <w:tblCellMar>
            <w:top w:w="0" w:type="dxa"/>
            <w:left w:w="108" w:type="dxa"/>
            <w:bottom w:w="0" w:type="dxa"/>
            <w:right w:w="108" w:type="dxa"/>
          </w:tblCellMar>
        </w:tblPrEx>
        <w:trPr>
          <w:trHeight w:val="567" w:hRule="atLeast"/>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教学资料</w:t>
            </w: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DYJ684教师用书</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小班、中班、大班、三年不少于102节课时，不低于200个科学活动</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DYJ685立体教学图卡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250克铜版纸双面覆膜，页面规格25*17cm,放置于桌面，引导幼儿在科学探究活动中认识材料、操作实验。可灵活翻页，内含四大领域、20个主题的器材介绍，包括文字、图片，手机扫描二维码还可观看部分实验的操作视频</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DYJ686儿童记录卡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优质PVC，厚2mm，培养幼儿记录能力，每套4张</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DYJ687电子版课件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涵盖小班、中班、大班共20节代表性课程，辅助教师上课、引导幼儿探究</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DYJ688结业证书</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210mm * 297mm，250g铜版纸，系统参加科学室培训的教师，经考核后可颁发结业证书</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100</w:t>
            </w:r>
          </w:p>
        </w:tc>
      </w:tr>
      <w:tr>
        <w:tblPrEx>
          <w:shd w:val="clear" w:color="auto" w:fill="FFFFFF" w:themeFill="background1"/>
          <w:tblCellMar>
            <w:top w:w="0" w:type="dxa"/>
            <w:left w:w="108" w:type="dxa"/>
            <w:bottom w:w="0" w:type="dxa"/>
            <w:right w:w="108" w:type="dxa"/>
          </w:tblCellMar>
        </w:tblPrEx>
        <w:trPr>
          <w:trHeight w:val="567" w:hRule="atLeast"/>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extDirection w:val="tbRlV"/>
            <w:vAlign w:val="center"/>
          </w:tcPr>
          <w:p>
            <w:pPr>
              <w:jc w:val="center"/>
              <w:rPr>
                <w:rFonts w:ascii="宋体" w:hAnsi="宋体" w:eastAsia="宋体" w:cs="宋体"/>
                <w:b/>
                <w:bCs/>
                <w:color w:val="auto"/>
                <w:sz w:val="20"/>
                <w:szCs w:val="20"/>
                <w:highlight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DYJ689奖状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250g铜版纸。激励幼儿的探究兴趣</w:t>
            </w:r>
          </w:p>
        </w:tc>
        <w:tc>
          <w:tcPr>
            <w:tcW w:w="43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150</w:t>
            </w:r>
          </w:p>
        </w:tc>
      </w:tr>
    </w:tbl>
    <w:p>
      <w:pPr>
        <w:pStyle w:val="21"/>
        <w:spacing w:line="360" w:lineRule="auto"/>
        <w:ind w:firstLine="500" w:firstLineChars="200"/>
        <w:rPr>
          <w:highlight w:val="none"/>
        </w:rPr>
      </w:pPr>
    </w:p>
    <w:p>
      <w:pPr>
        <w:spacing w:line="360" w:lineRule="auto"/>
        <w:ind w:left="1440" w:leftChars="225" w:hanging="720" w:hangingChars="300"/>
        <w:rPr>
          <w:rFonts w:ascii="宋体" w:hAnsi="宋体" w:cs="宋体"/>
          <w:sz w:val="24"/>
          <w:highlight w:val="none"/>
        </w:rPr>
      </w:pPr>
      <w:r>
        <w:rPr>
          <w:rFonts w:hint="eastAsia" w:ascii="宋体" w:hAnsi="宋体" w:cs="宋体"/>
          <w:sz w:val="24"/>
          <w:highlight w:val="none"/>
        </w:rPr>
        <w:t>第二部分：小学功能教室设备（数量为华望城小学、创新坊小学所需数量的和）</w:t>
      </w:r>
    </w:p>
    <w:tbl>
      <w:tblPr>
        <w:tblStyle w:val="16"/>
        <w:tblW w:w="0" w:type="auto"/>
        <w:tblInd w:w="98" w:type="dxa"/>
        <w:tblLayout w:type="autofit"/>
        <w:tblCellMar>
          <w:top w:w="0" w:type="dxa"/>
          <w:left w:w="108" w:type="dxa"/>
          <w:bottom w:w="0" w:type="dxa"/>
          <w:right w:w="108" w:type="dxa"/>
        </w:tblCellMar>
      </w:tblPr>
      <w:tblGrid>
        <w:gridCol w:w="1351"/>
        <w:gridCol w:w="821"/>
        <w:gridCol w:w="5102"/>
        <w:gridCol w:w="434"/>
        <w:gridCol w:w="716"/>
      </w:tblGrid>
      <w:tr>
        <w:tblPrEx>
          <w:tblCellMar>
            <w:top w:w="0" w:type="dxa"/>
            <w:left w:w="108" w:type="dxa"/>
            <w:bottom w:w="0" w:type="dxa"/>
            <w:right w:w="108" w:type="dxa"/>
          </w:tblCellMar>
        </w:tblPrEx>
        <w:trPr>
          <w:trHeight w:val="567" w:hRule="atLeast"/>
        </w:trPr>
        <w:tc>
          <w:tcPr>
            <w:tcW w:w="0" w:type="auto"/>
            <w:gridSpan w:val="5"/>
            <w:tcBorders>
              <w:top w:val="nil"/>
              <w:left w:val="nil"/>
              <w:bottom w:val="nil"/>
              <w:right w:val="nil"/>
            </w:tcBorders>
            <w:shd w:val="clear" w:color="auto" w:fill="auto"/>
            <w:vAlign w:val="center"/>
          </w:tcPr>
          <w:p>
            <w:pPr>
              <w:jc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1、小学科学实验室（2间）</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序号</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材质及生产工艺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数量</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教师演示台（水道实验台）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#1.规格：2400×740×840mm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#2.台面：采用实验室专用≥11.7mm实芯理化板（颜色墨绿色），要具有耐酸碱、耐有机溶剂腐蚀、耐撞击、防水、防火、防静电、经久耐用等特点，一体化实芯板修边，注重人性化设计，美观大方，实用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教师台台身：采用圆铝木结构（φ40亚光耐腐蚀实验室专用电泳铝型材，双层管壁厚≥1.2mm，带加强筋），所有外露板边都采用进口自动封过机选用优质PVC平封边，粘力强、密封性好、外形美观、经久耐用。配以灰色ABS尼龙连接件组装而成（非黑色胶木件），表面经环氧树脂高温固化处理，要具有耐酸碱防腐、防潮等特点；台身主体背板及吊板采用≥16mm厚优质E1级三聚氰胺防潮环保浸渍板（非热压纤维板），并借以有限的空间做最大的实验使用面积为基点，注入了人性化的设计理念。教师台预留多媒体键盘。拉手采用“一字”合金冰箱拉手，拉手两端带ABS注塑止头。可调地脚：“鼠标型”防腐地脚，采用模具成型PC＋ABS工程塑料合金注塑专用垫，可隐蔽固定，要具有高度可调、耐磨、防潮、耐腐蚀等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学生实验台（水道实验台）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#1.规格： 1200*600*780mm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#2.台面：采用实验室专用≥11.7mm实心理化板，耐撞击、防水、防火、防静电、经久耐用等特点，半圆热压一次成型板面（芯板为三聚氰胺浸渍板，非纤维热压板）注重人性化设计，美观大方，实用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3.围边：四周边缘采用≥35mm厚工程塑料一体注塑成型进行包边，减少桌体间机械碰撞，前沿设≥40mm高挡水边，可有效阻挡仪器滑落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4.台面颜色：湖水蓝、墨绿色、冰蓝（颜色学校可选）</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5.桌体：新铝塑镂空结构（工字形）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桌脚：内置承重部分采用不小于60×40×1.6mm矩形铝镁合金，横档采用不小于30×40×1.6mm矩形铝镁合金，通过合金压铸角铁组装成“工”字形（使整体框架结构更为合理，增强桌体承重性及整体稳定性）；外置装饰柱、装饰盖均采用ABS工程塑料一次注塑成型，外表为流线形设计，要具有防潮、防水、防腐、防酸碱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书包盒：规格：不小于420*305*110mm（每组2个），采用ABS工程塑料一次注塑成型，预留学生凳挂靠口；固定横梁采用不小于30*30*1.2mm矩形铝构件，书包挂架采用四根不小于20*30*1.2mm矩形铝构件，钢构件表面经酸洗、磷化、喷塑处理，框架横梁与桌脚之间均采用PC＋ABS工程塑料合金连插件连接</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8.吊板：采用≥2mm厚冷轧钢板折弯成型，表面经酸洗、磷化、喷塑处理，吊板离地≥540mm（每组桌除两侧的桌腿外，整个下面是镂空的，便于打扫卫生）</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9.可调脚：采用进口ABS耐蚀注塑专用垫。要具有高度可调、耐磨、防潮、耐腐蚀等特点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学生实验凳（含教师用）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#1.产品规格：凳面直径320mm，高度380-480mm（液压高度可调）</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技术参数：凳面采用≥3mm厚聚丙烯一体注塑成型，接触面为皮纹处理，采用曲面设计增加接触面积，符合人体工程学增强坐感舒适度；凳面弧形后靠背挡边设计，可有效纠正学生错误坐姿；学生凳选用优质气杆，与凳面连接处安装加宽加强防爆机构（必须通过权威部门防爆检测），气杆防尘套（Ø70×170mm）为聚丙烯一体注塑成型表面磨砂处理；支架选用半径为230mm五星脚，不占用空间面积，五星脚采用高强度尼龙材料一体注塑成型，具有结构牢固、耐酸碱腐蚀等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272</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2、科学仪器室</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仪器柜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#1.规格：800*400*2400mm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环保优质三聚氢胺浸渍板，E1级板，全自动机械封边，上部为木制对开门，中部玻璃门框对开门，3层活动隔板，加方钢承重托杆，下木制对开门，带一层活动隔板，电泳合金防腐“一字”冰箱式拉手，拉手两端带ABS注塑止头。活动隔板支架为喷涂烤漆钢板冲床冲孔，契型金属调节扣，可上下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3、科学药品室</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危险品柜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#1.规格：800×510×1840mm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2.防腐钢板加安全密码双锁开门方式：双开门，手动；层板：3块阶梯式PP活动搁板；锁具：电子密码锁，双锁配置；颜色：黄色（环氧树脂喷涂）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3.产品特性：本产品符合Q/320205 XBB001标准，具有防盗、阻燃、耐腐蚀、通风等功能，安全无静电</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#4.柜体外壳全部采用≥1.2mm的冷轧钢板，底座采用≥2.0mm的冷轧钢板，内外表面经酸洗磷华环氧树脂粉末喷涂，烘热固化处理</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柜体内胆（上、下、左、右内衬板）全部采用瓷白pp（聚丙烯树脂）板；柜体右侧设有可调进风口，有不锈钢可调风阀；柜体内部最下层留有可以存放不少于120mm厚黄沙填埋腔（漏液槽），用于埋放金属钠、黄磷等的易燃物品，挡板应与柜体连为一体；柜底装有四个φ40mm的移动钢轮，便于柜体移动；前轮有2个手动调节罗杆，方便柜体定位</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6.柜中设3块三层阶梯式的pp聚丙烯树脂活动搁板，层板采用耐腐瓷白PP板材，层板设有10mm的通气孔</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7.柜顶部中间有φ140mm出风口且风口中内置一个AC220V、40H、0.18A轴流风机，最大风量不小于300m3/h、转速2040转/min、环境温度（-10-+70）℃控制开关设置柜体顶部的右上角</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防火材料：柜体填充具有保温隔热作用的防火材料陶瓷纤维</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8.铰链：钢琴式铰链，确保门能开180度</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9.柜体门与柜体之间应安装防火膨胀密封件，密封件应符合GB 16807的要求；（柜体门与柜体之间应安装环保热膨胀密封条，当温度为140℃-180℃时密封条局部膨胀，温度达到740℃时密封条全部膨胀，膨胀比例为1：5，以保证储存安全性）</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10.电子锁：应符合GB10409中5.4要求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11.电源：应符合GB10409中5.5要求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12.附加装置：应符合GB10409中5.6要求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13.通风控制装置：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(1)柜体底部设置进风口及可调风阀，可调风阀灵活，并能控制风量大小。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(2)柜体应设置通风口，通风口最大风速应不小于0.5m/s。</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(3)配有微电脑时控开关，能根据用户设定的时间自动打开和关闭风机，电源开关指示灯指示风机是否正常工作，可自动或手动控制。加装温湿度报警装置，实时温湿度控制。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(4)通风管道口径宜采用φ160mm，通风管应耐高温、阻燃、耐腐蚀、符合JGJ140的要求。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(5)特殊安全性要求：机械锁钥匙、电子密码锁密码应由两人分别保管，开启时两人应同时在场。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防爆温湿度、VOC传感器报警装置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柜体顶部应配置VOC温湿度控制器，对柜内相对温度湿度实时监控，数字显示设定和测量值，柜内的温湿度如超过设定的测量值即时报警提示</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4、美术专用教室</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书写方台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采用学生合作的大面板，参考尺寸：160cm×80cm×80cm,桌面板木质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教师用桌子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桌面面积不小于140*70mm，高度不小于80mm,桌面板木质，坚固耐用，易清洁，安全环保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教师凳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参考尺寸；340*240*450mm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#1.凳面：凳面为20MM橡胶木实木，双面新枫木色三聚氰胺浸饰纸贴面。侧边木蜡油处理</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2.钢架：脚管为20*1.5mm圆管及脚踏圈为16*1.5mm圆管焊接而成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实木凳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300*420Hmm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#1.凳面：凳面为20MM橡胶木实木，双面新枫木色三聚氰胺浸饰纸贴面。侧边木蜡油处理</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2.钢架：脚管为20*1.5mm圆管及脚踏圈为16*1.5mm圆管焊接而成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272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纯棉衬布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800×1200mm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静物台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可折叠、带背板实木静物台</w:t>
            </w:r>
          </w:p>
          <w:p>
            <w:pPr>
              <w:widowControl/>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台面尺寸：600×800mm</w:t>
            </w:r>
          </w:p>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台面高度：720mm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静物灯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高度可调（0.78-1.5m），全铝合金制作，不易生锈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毛毡板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highlight w:val="none"/>
              </w:rPr>
            </w:pPr>
            <w:r>
              <w:rPr>
                <w:rFonts w:hint="eastAsia" w:ascii="宋体" w:hAnsi="宋体" w:eastAsia="宋体" w:cs="宋体"/>
                <w:kern w:val="0"/>
                <w:sz w:val="20"/>
                <w:szCs w:val="20"/>
                <w:highlight w:val="none"/>
                <w:lang w:bidi="ar"/>
              </w:rPr>
              <w:t>尺寸：3000*1200mm</w:t>
            </w:r>
          </w:p>
          <w:p>
            <w:pPr>
              <w:widowControl/>
              <w:textAlignment w:val="center"/>
              <w:rPr>
                <w:highlight w:val="none"/>
              </w:rPr>
            </w:pPr>
            <w:r>
              <w:rPr>
                <w:rFonts w:hint="eastAsia" w:ascii="宋体" w:hAnsi="宋体" w:eastAsia="宋体" w:cs="宋体"/>
                <w:kern w:val="0"/>
                <w:sz w:val="20"/>
                <w:szCs w:val="20"/>
                <w:highlight w:val="none"/>
                <w:lang w:bidi="ar"/>
              </w:rPr>
              <w:t>材质：毡质</w:t>
            </w:r>
          </w:p>
          <w:p>
            <w:pPr>
              <w:widowControl/>
              <w:textAlignment w:val="center"/>
              <w:rPr>
                <w:highlight w:val="none"/>
              </w:rPr>
            </w:pPr>
            <w:r>
              <w:rPr>
                <w:rFonts w:hint="eastAsia" w:ascii="宋体" w:hAnsi="宋体" w:eastAsia="宋体" w:cs="宋体"/>
                <w:kern w:val="0"/>
                <w:sz w:val="20"/>
                <w:szCs w:val="20"/>
                <w:highlight w:val="none"/>
                <w:lang w:bidi="ar"/>
              </w:rPr>
              <w:t>功能：防潮不变形、不易断、可重复拆卸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写生教具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石膏几何形体，不少于16个，包括圆球直径≥18cm，长方体≥10x10x22cm，正方体边长≥16cm，圆柱体直径≥12cm，高≥22cm，六棱柱底面棱长≥6cm，高≥22cm，圆锥底面直径≥16cm，高≥22cm，方锥底面边长≥8cm，高≥22cm，方带方底面边长≥9cm，高≥22cm，圆锥带圆底面直径≥16cm，高≥22cm，十二面体棱长≥7cm，表面光洁，线条清晰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画架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材质：优质实木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规格：高度1420mm；边框40x 20mm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特点：倾斜角度可调，画板托板高度可调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材质：中间骨架，双面三合板，四周实木边框</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 2# 600 x 450 x 18mm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特点：45度割角拼接,学生用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丁字尺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规格：120mm 有机高透材质，凹凸雕印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规格：800mm 有机高透材质，凹凸雕印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三角板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材质：木质；刻度：240mm；90°直角三角形一件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大圆规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榉木材质，圆规总长 410mm，吸盘式圆心腿，可夹水笔使用，表面光滑无毛刺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大三角板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材质：木质；刻度：500mm；90°直角三角形一件；60°等腰三角形一件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画夹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尺寸：大号55×40</w:t>
            </w:r>
          </w:p>
          <w:p>
            <w:pPr>
              <w:widowControl/>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材质：密度板</w:t>
            </w:r>
          </w:p>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带强力夹扣，双肩背带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画夹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尺寸：中号45×35</w:t>
            </w:r>
          </w:p>
          <w:p>
            <w:pPr>
              <w:widowControl/>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材质：密度板</w:t>
            </w:r>
          </w:p>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带强力夹扣，双肩背带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材质：MFC板/PE</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#规格：800mm*400mm*800mm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特点：配置多种色彩PE材质收纳盒。多种收纳隔层设计，有效收纳各种用具，方便取用收纳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开放式边台柜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#规格：1200*400*800mm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优质面板EO级MFC板， 含水率在6%-8%,不变形，不翘曲；整体板面正负误差在0.5mm以内,胶合率好,“密度为0.85K/cm3.甲醛释放量≤0.5mg/L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开放式边台柜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#规格：1200*400*1200mm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优质面板EO级MFC板， 含水率在6%-8%,不变形，不翘曲；整体板面正负误差在0.5mm以内,胶合率好,“密度为0.85K/cm3.甲醛释放量≤0.5mg/L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学生剪刀、胶棒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剪刀参考尺寸122*53mmm带护套；固体胶棒约80*20mm,9g容量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可折叠水桶（学生用）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highlight w:val="none"/>
              </w:rPr>
            </w:pPr>
            <w:r>
              <w:rPr>
                <w:rFonts w:hint="eastAsia" w:ascii="宋体" w:hAnsi="宋体" w:eastAsia="宋体" w:cs="宋体"/>
                <w:kern w:val="0"/>
                <w:sz w:val="20"/>
                <w:szCs w:val="20"/>
                <w:highlight w:val="none"/>
                <w:lang w:bidi="ar"/>
              </w:rPr>
              <w:t>学生用折叠洗笔桶</w:t>
            </w:r>
          </w:p>
          <w:p>
            <w:pPr>
              <w:widowControl/>
              <w:jc w:val="left"/>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规格：250*200mm</w:t>
            </w:r>
          </w:p>
          <w:p>
            <w:pPr>
              <w:widowControl/>
              <w:jc w:val="left"/>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材质：塑料</w:t>
            </w:r>
          </w:p>
          <w:p>
            <w:pPr>
              <w:widowControl/>
              <w:jc w:val="left"/>
              <w:textAlignment w:val="center"/>
              <w:rPr>
                <w:highlight w:val="none"/>
              </w:rPr>
            </w:pPr>
            <w:r>
              <w:rPr>
                <w:rFonts w:hint="eastAsia" w:ascii="宋体" w:hAnsi="宋体" w:eastAsia="宋体" w:cs="宋体"/>
                <w:kern w:val="0"/>
                <w:sz w:val="20"/>
                <w:szCs w:val="20"/>
                <w:highlight w:val="none"/>
                <w:lang w:bidi="ar"/>
              </w:rPr>
              <w:t>特点：可折叠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各种美术用纸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彩纸、卡纸、皱纹纸、红纸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各种美术用笔 调色盘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教师用调色盘</w:t>
            </w:r>
          </w:p>
          <w:p>
            <w:pPr>
              <w:widowControl/>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规格：17 格</w:t>
            </w:r>
          </w:p>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材质：聚丙稀（pp）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5、音乐合唱教室</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合唱台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#1.尺寸：三层尺寸1220*1140*610±10mm；每层台阶款宽380±10mm，高200±10mm；小舞台尺寸:1530*1220*300±10mm；(共5组）</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2.材质：高密度PE</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3.工艺：吹塑制作，材质轻，耐磨抗压，抗氧化功能强，长期使用也不会产生开裂现象，硬度和强度高，吸水性小，优良的电绝缘性，耐寒</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4.功能：合唱台台阶可翻转设计，可调整为两层合唱台也可以变为一个整体的小舞台，侧面轮子设计方便推移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音乐凳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#1.X型升降琴凳，凳面44*33.5*5cm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2.可升降折叠升级加厚专业凳子，哑光漆铁+PU皮革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乐谱架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580*300*1550mm;大谱面尺寸：500*350mm,1.6mm厚度铁质材料，表面喷砂喷漆，不锈钢锁扣连接，塑钢接口，加粗加厚铁质材料；可折叠面板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音乐器材柜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#1.1322W*440D*1140H；材质：顶板为20mmMFC板，余为16mm，PVC直边封边，带轮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2.其他：配16个小收纳盒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6、卫生保健室</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身高体重秤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材质：铝合金、环保塑料</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规格：身高量程72-205cm 称重范围0.2-205kg 分度值：0.1cm/50g</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usb充电，LED显示屏幕</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可用于测量人体身高及体重，适用于学校及各类体检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胸围尺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软皮尺1400mm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肺活量计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材质：橡胶管、不锈钢外筒、ABS工程塑料内筒</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规格：5.5L</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可以用浮筒法和直排法测量肺活量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显示方式：数字式显示方式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上臂式电子血压仪，含标准臂带、空气管和电源适配器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测量方式：示波测量法；记忆组数：90组</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测量范围压力范围：0mmHg-299mmHg 测量精度血压：±3mmHg</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显示方式：数字式显示方式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无操作后30秒自动关机，智能控制气泵自动加压、自动快速泄气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听诊器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材质：PVC乳胶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所含部件：听诊头、导音管、耳挂、防冷圈、耳塞组合规格：两用听诊器；供听诊人体心、肺器官等活动声响变化用和高音频杂音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灯光视力表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国际标准视力图.30W灯管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材质：优质ABS、高强度铝合金</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规格：灯箱尺寸93*28.5*6cm屏幕尺寸85*20.5cm 正常工作电压：150-260V</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采用后照法解决光线强度问题，采用高强度铝合金作箱体框架，视表板选用有机玻璃，造型美观；遥控，亮度可调；不锈钢挂环无孔壁装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视力表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PVC防水远视力表，1080*210mm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视力表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PVC防水近视力表，1080*210mm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秒表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尺寸：8*6*2cm 颜色：黑色</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材质：塑料</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时间、日历显示、定时闹钟，超大屏幕显示，附带指南针功能，容易更换电池（使用G13纽扣电池）</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用于测量时间计时用；分辨率 0.01s，10min，测量精度不大于 0.2s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体温计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材质：玻璃水银体温计最高测量体温：42℃</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使用前用75°酒精消毒，并将水银柱甩到35.5℃常人腋下温度</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为30-37℃，口腔温度比腋下高0.2-0.4度，直肠温度比口腔温度高0.3-0.5℃</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儿童测量需在成人的监护下进行，防止水银中毒。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80.00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医用镊子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材质：304不锈钢防160mm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产品尺寸：1个弯头、1个直头</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升级款304不锈钢加厚款，加垫片，使用手感好、不易变形。表面条纹防滑，适用于药品加持取用，弯头直头两个款式轻松夹</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取物品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4.00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辩色图谱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小学卫生辨色图谱：全图能对红、黄、绿、蓝、紫色觉进行全面检查并对红绿、蓝紫色弱做重中轻三分类，对色视觉检查可达定性和半定量标准</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用于识别颜色的特性，检测视器官和色觉功能，对于色觉障碍的检测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教学卫生测量尺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三折.选用优质木材，刻度清晰，小巧易携带。黄底黑字，分度值1mm，精度：≤1mm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诊查床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1840X600X800mm、仿真皮高压海绵厚40mm、钢铁80mm工字床框、￠40mm圆钢床脚、防滑脚垫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高压灭菌器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#材质：不锈钢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#产品容积：18L 内胆规格：240*140 额定压力：0.22Mpa</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额定电压：220V</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额定温度：126-128°</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手提式防干烧，耐酸碱、耐腐蚀、易清理，高温消毒专用器皿。起闭压力0.14Mpa～0.165Mpa.能自行排汽并关闭，带安全阀能自行排汽并关闭，带安全阀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电压220V、功率800W、密封式、参考尺寸248*278*56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污物桶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材质：PP原料、聚乙烯规格：20L</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开合方式：密封袋盖结构、脚踏医疗垃圾桶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密封防臭阻止异味、一脚开盖一脚关盖，筒身加用料更结实耐用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敷料缸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铁制搪瓷，由底座、圆筒、缸盖组成。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棉球缸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材质：304不锈钢材质规格：10*10cm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采用抛光工艺，耐高温美观实用。光滑外壁拉丝内壁一体成型</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用于盛放棉球、药膏等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器械缸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材质：304不锈钢防碘伏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产品尺寸：64*150mm 形状：倒锥形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升级款304不锈钢加厚款不易变形。表面条纹防滑，适用于盛放镊子等，加盖利于防尘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贮槽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材质：304不锈钢 尺寸 ：20*14.5cm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弯盘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材质：304不锈钢 规格：21*14*2.5cm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防碘伏材质具有优良的不锈耐腐蚀性能和较好的抗晶间腐蚀性能用于换药消毒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 200X300mm  铁制白色搪瓷，长方型。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带盖方盘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材质：304不锈钢规格：24*16*5cm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防碘伏材质具有优良的不锈耐腐蚀性能和较好的抗晶间腐蚀性能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用于换药消毒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酒精灯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材质：高硼硅玻璃</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规格：250ml（不含酒精）</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 xml:space="preserve">是由灯体、灯芯管、灯帽组成，以酒精为燃料的加热工具，用于加热物品，用料均匀，透明度高，耐热耐高温  </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用于诊疗时消毒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喉头喷雾器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单手式双管喷雾型（玻璃瓶、压气球、PU喷雾导管、喷雾头）</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容量：40ml</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喷头孔径：0.8mm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冲眼壶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材质：304不锈钢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尺寸：高约12cm,壶底直径7.2cm 容量：280ml</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采用优质不锈钢材质制作而成，抛光细腻，防腐蚀性强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用于清洗眼部异物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受水器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塑料整体成型，参考尺寸：上14cm、下4cm，高9cm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医用剪刀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材质：304不锈钢防</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产品尺寸：1个弯头、1个直头</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采用不锈钢材质，耐腐蚀。手柄设计圆润细腻，符合手持感， 无毛刺，无菱角。刃口锋利，无镀层，不卷刀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4.00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外伤处理器械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240×180×160mm铝合金箱.脱脂纱布.胶带.药棉.棚带.创口贴.剪刀.镊子.止血带.弯盘.酒精.红贡.蓝贡.碘酊等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卫生箱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材质：铝合金、中纤板尺寸：35*19*22cm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可用于出诊或户外救助。分层、分隔设计托盘可独立取出，配</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有安全锁，开合方便、防止儿童误食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4.00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计算器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1.12位数、语言发音、大显示屏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2.有普通四则运算功能3、有自动关机功能4、有开方运算功能5、有百分号功能6、有有临时储存器功能7、应保留普通计算器的基本功能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4.00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音  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音叉：由叉股和手柄组成，手柄截面为圆形或方形，配共鸣箱一个，音叉表面平整光滑，叉股内侧平面与底部圆弧光滑相切</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材质：进口钢材，音叉槌槌头用橡胶制造，槌杆用木材或塑料制造</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规格：9.2cm≤长度≤19cm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400HZ音叉*2，附有音锤，不同音叉在敲击时可因叉臂长短在震动时发出不同频率的纯音，质优价廉，共振效果好。用于鉴别耳聋、检测听力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落地蛇形灯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材质：不锈钢底座带滑轮+反光灯电源电压：220V±22V,50Hz±1Hz ，≤200W；环境温度：0℃-40℃</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该产品由底座、固定支撑套管、升降杆可调节1.3-1.7m、紧固件连接而成。为落地式照明灯，解决多种角度的照明需要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1.双盘、单杠杆、等臂，非封闭式横梁由铝合金制成。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2.刀子：钢制成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3.最大称量为：400g ,标尺称量为:0-5g,分度值e=d：0.5g,秤盘直径：84mm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 xml:space="preserve">4.规格：210mm×84mm×135mm </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5.标尺光洁平直，连接部位固紧，分度线均匀， 游码起点对准零线，移动时松紧适宜，当杠杆受到轻微冲击时，游码不移位。刀子垂直地紧固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回转台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直径330mm.胶木制作。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器械台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不锈钢双层  470*370*840mm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紫外线消毒车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灯管功率：30W*2 灯管数量：2支，894mm，灯臂0-180°调节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建议使用面积：≥40㎡</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电源电压：220V±10%</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电源频率：50HZ±10% 紫外线主波长253.7nm 带定时装置0-120分钟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异物针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材质：医用不锈钢钛合金材质规格：直尖+弯尖各一</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尺寸：12.5cm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采用优质材料，专业度高、细节性强，不锈钢钛合金，硬度高</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、韧性好，用于取出异物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急救箱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材质：加厚型铝合金</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规格：箱体尺寸48*30*15cm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铝合金结构，双层，内饰是布材质的，应存放于干燥、无腐蚀性气体和通风良好的室内</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内含常见药品（纱布、胶带、药棉、创口贴、剪刀、止血带、钳子、体温计、听诊器、酒精、红贡、蓝贡、温乃近、肚泻药等），注意检查药品时效，防止小孩接触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担架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140*600*2140mm.铝合金折叠式架子.重量5kg.承重120kg坚固安全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叩诊锤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材质：锌合金、硅胶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规格：全长18cm，锤头长6.5cm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垂头顶部可旋出钢针，针长4.8cm，尾部可旋出刷子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用于测量人体跟腱、膝部、肘部等关节神经放射程度之用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带状检影镜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KJ6A交流带状光检影镜是测定眼睛屈光不正和散光轴位的仪器.本仪器外形美观.操作方便.灯丝可做360°旋转及上下移动.定位可靠。工作距离：1m.光带宽度：3mm-20mm.光带可旋转：360°.照明电源：3V/2.1W白炽灯泡.电源：AC220V/40Hz.110V/60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止血带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材质：天然橡胶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口径：6*9mm 颜色：黄色</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乳胶管止血带弹性好、拉力好，不易断裂。用于倒液、医用止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血，也可用于止血绑带用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照度计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AR823 分体式   测量范围从1-80000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氧气瓶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#规格：10L氧气瓶、高度79cm 直 径 ：15.2cm 重量：14KG，含氧气表、推车、面罩、吸氧管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特点：1.钢结构氧气表接口与钢制阀门无缝对接，防止漏气。2.滑轮小推车耐用方便的圆轮移动起来更方便3.固定钢圈将圈上的螺丝拧开固定到杆上再将螺丝拧开。4.固定底座将杆对准底座上的两个孔将螺丝从底座的底部拧上将其固定5.大容量加湿器湿润氧气吸入更舒适6.医用氧气标识与其他类别的氧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额镜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材质：304不锈钢规格：直径8*2cm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固定方式：自贴扣固定</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使用方法：在额镜附有光源，对光方便，多用于手术中，适合医院及诊所鼻腔、口腔、耳道检查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小夹板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木质.同规格3张1组，每3组1套，应具透气性好、质地轻、环保性、抗生性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放大镜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放大镜</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材质：玻璃镜片，塑料手柄</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规格：镜片直径100mm，总长228mm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光学白玻璃镜片，防滑，手感好，握持方便，不易脱落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用途：用于放大被检部位，方便观察操作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口镜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材质：食品级不锈钢材质尺寸：16cm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重量：20克</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用途：用于牙科口镜头、牙医工具，镜片光洁，边缘倒角均匀，无锋棱毛刺等现象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小学健康教育挂图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包括40幅PP背胶贴纸，尺寸约800*600mm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眼保健康挂图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highlight w:val="none"/>
              </w:rPr>
            </w:pPr>
            <w:r>
              <w:rPr>
                <w:rFonts w:hint="eastAsia" w:ascii="宋体" w:hAnsi="宋体" w:eastAsia="宋体" w:cs="宋体"/>
                <w:kern w:val="0"/>
                <w:sz w:val="20"/>
                <w:szCs w:val="20"/>
                <w:highlight w:val="none"/>
                <w:lang w:bidi="ar"/>
              </w:rPr>
              <w:t>包括2幅PP背胶贴纸，尺寸约800*600mm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白大褂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材质：纯棉</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规格：XXL</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简洁修身设计，适合不同体型，采用优质医用面料，亲肤柔软，吸汗透气，不缩水，不起球</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用途：用于检查诊疗时穿着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消毒盒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铝制  170X80X60mm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止血钳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材质：优质不锈钢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产品款式：内含直头一把和弯头一把产品尺寸：18mm 18cm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储存方式：阴凉干燥无腐蚀处</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采用安全不锈钢材质，安全耐用。自由调节闭合度使用简单安全。本品灭菌后使用，止血钳用途广泛，轻巧灵便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压舌板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一次性木质压舌板*80条，参考尺寸150*18mm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探针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双头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拐杖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中号不锈钢腋下拐*2，可调节岗位，建议身高153-178cm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氧气袋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材质：塑料</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规格：42L，50*27*32cm 净重：0.37Kg</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氧气袋内的压缩空气压力须小于10.6KPA，超过10.6KPA会影响氧气袋的使用寿命，造成氧气袋破裂。使用时将输氧管浸入到盛水的杯子中并缓慢松开夹头，观察气泡连续派出为宜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三角巾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材质：加厚无纺布规格：96*96*136cm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包装：自封袋独立包装重量：约15g</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特点：医用三角绷带由无纺布经裁切、折叠而成，供医疗机构</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临床包扎用或急救处理使用。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诊查桌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1200X600X780mm，不锈钢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诊查凳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塑钢、圆凳面、高低可调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迷你冰柜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#最低制冷温度：-26°；容积：100L；电压：220V；卧式、定频、直冷、单温区、顶开门，一级能耗，参考尺寸：540*500*860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诊察枕头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材质：优质加绒PVC植绒规格：38*24cm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采用贴合颈椎的凹形曲线设计，柔软舒适的植绒面料，高频热</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压成型接缝技术，防漏气，可安全使用。用于诊疗室枕头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7、心理咨询室</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咨询室软式沙发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#组合：3+2+1，优质绒布面料，沙发内部选用优质高回弹海绵填充，实木框架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团体沙盘游戏套装</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1.沙箱：箱体内径规格为720mm×570mm×70mm。箱体内侧涂成天蓝色，防水。箱体带有基座，可供放置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2.沙具柜：木质，开放式多层设计，每层可设内外两阶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3.沙子：天然专用水洗沙，颗粒均匀，环保安全，宜茶色、黄色。不少于 10kg</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4.沙具：玩具或物品接近于现实之物。必备的玩具有人物、动物、植物、建筑、家具与生活用品、交通运输工具、食物、石头与贝壳等，数量不少于 1000 种</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5.其他：沙耙、沙刷、沙铲、沙漏、喷水壶、小型工具箱等；沙盘操作手册 1 本，沙盘管理软件 1 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素质拓展训练箱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1.专业的素质拓展配套道具，可以完成愚公移山、穿越魔方、管理七巧板、急速六十秒、同心传鼓、筑塔、雷阵等素质拓展训练项目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2.配套的活动指导手册1本，能够将活动的目的、要求和操作方法、步骤等作出较为详细的解释</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3.专用器材收纳箱1个，尺寸约680×440×280mm，表面材料为黑色防火板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宣泄人套装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1.人型宣泄人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 xml:space="preserve">总体高度: 1800mm 人型高度:800mm   净重:20 kg   材质：外皮使用进口仿硅胶材料，内里聚胺脂填充 </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2.宣泄球</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可调节式速度球，可调节高度: 120-158cm；球体高度:260mm；净重: 5 kg；材质：外皮使用进口仿硅胶材料，内里聚胺脂填充</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3.其它：宣泄手套2副，硅胶宣泄脸谱3个，纸制宣泄脸谱7个，呐喊壶1个，惨叫猪1个，惨叫鸡1个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心理图书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小学心理健康教育类图书、心理学工具书等80本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心理挂图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心理现象类、哲言励志类、心理学史类、心理放松类，420*540mm，精美装裱，美观，大方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软板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4000*1200mm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布艺软垫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单人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8、少先队室</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大队鼓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正品鼓皮，大鼓直径≥600mm，鼓体高度≥300mm。各金属件表面镀层牢固完整、无脱皮、不透底，鼓锤敲击延音≮7s,各部件表面打磨光滑，无毛刺，无锐利边角，鼓框拼接整齐，胶合牢固，无裂开，声音饱满，浑厚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小队鼓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正品鼓皮，大鼓直径≥300mm，鼓体高度≥180mm。各金属件表面镀层牢固完整、无脱皮、不透底，鼓锤敲击延音≮7s,各部件表面打磨光滑，无毛刺，无锐利边角，鼓框拼接整齐，胶合牢固，无裂开，声音饱满，浑厚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大京镲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响铜，音色更高亢脆亮。抛光处理。制作精美，光洁，无毛刺。圆帽形，中间突起，钹体小而厚，钹面直径≥280㎜，厚度≥2mm，重量约：1.2kg，碗顶钻孔系以布绳，两面为一副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小京镲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响铜，音色更高亢脆亮。抛光处理。制作精美，光洁，无毛刺。圆帽形，中间突起，钹体小而厚，钹面直径≥140㎜，厚度≥1mm，重量约：300g，碗顶钻孔系以布绳，两面为一副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指挥棒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黄铜材质，两节，长度114cm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青年号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黄铜材质，喇叭口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大队旗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尼龙纺大队旗80×120cm，不锈钢旗杆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中队旗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尼龙纺中队旗60×80cm ，不锈钢旗杆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72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3号国旗，4号国旗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大队长标志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防水PVC材质，规格6X7cm,白色底红色横杆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中队长标志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防水PVC材质，规格6X7cm,白色底红色横杆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小队长标志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防水PVC材质，规格6X7cm,白色底红色横杆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旗架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插旗杆用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旗杆</w:t>
            </w:r>
          </w:p>
        </w:tc>
        <w:tc>
          <w:tcPr>
            <w:tcW w:w="0" w:type="auto"/>
            <w:tcBorders>
              <w:top w:val="nil"/>
              <w:left w:val="nil"/>
              <w:bottom w:val="nil"/>
              <w:right w:val="nil"/>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手持旗杆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鼓号队乐器柜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木质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9、小学仪器</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小学科学仪器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bCs/>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bCs/>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bCs/>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一</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计算器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简易型                                                    1.8位数单行LCD显示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2.有普通四则运算功能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3.有自动关机功能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4.有开方运算功能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5.有百分号功能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6.有有临时储存器功能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7.应保留普通计算器的基本功能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二</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一般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打孔器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1.供对胶塞和软木塞打孔用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2.由四支不同孔径带手柄的空芯钻头、顶屑杆（通条）等组成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3、每支空芯管长度为94mm，管外径分别为6mm±0.1mm，8.0mm±0.1mm，10.0 mm±0.1 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4.钻头用45＃无缝钢管制成，刀口经淬火处理，表面镀铬，刀刃无缺口或锯齿状。刃口角度为12°～15°</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5.钻头圆度误差不大于0.05mm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6.钻头直线度误差不大于0.05mm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7.刀刃平面与手柄平行，并与钻头轴线垂直。刀刃平面与轴线的垂直度误差不大于0.3mm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8.顶屑杆直径φ3mm，长80mm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打气筒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打气筒由气筒、活塞杆、活塞、手柄、气嘴等组成。长度570mm,气管长620mm,气筒外径∅29mm,压力符合国家相关标准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仪器车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不锈钢制，规格：640mm×420mm×855mm，4个2寸活动轮，其中两个带刹车功能。仪器车应分为2层，层间距不小于300mm。整车安装好后应载重40Kg，应运行平稳，不得变形、摇晃、松动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放大镜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3倍，直径不小于40mm,凸透镜直径不小于Φ40mm，放大倍率：3×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酒精喷灯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铜制坐式,由壶体、预燃盘、壶嘴、喷管、火苗调节杆、通针等部分组成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保温箱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不锈钢内胆。塑料外壳，中间有泡沫填充物.内胆直径128mm,内胆高度不低于108mm.产品总高度不低于175mm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听诊器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1.单用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2.听诊器传音应清晰</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3.耳环弹簧片的硬度应在HR15N82.9~88.4范围内</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4.耳环的弹性应良好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水族箱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产品尺寸由378*265*455mm，水容量33L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手持移动灯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可充电,手持式。led灯珠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圆形，塑制，透明，φ240mm×80mm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三</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方座支架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由底座、立杆、烧瓶夹、大小铁环、垂直夹（2）、平行夹等组成。铸铁制  底座尺寸：210×135mm,立杆直径为Φ11mmx580mm，大铁环内径Φ94mm，大铁环柄长105mm，小铁环内径Φ40mm，小铁环柄长120mm，圆环120度处开口宽约20mm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三脚架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1.产品有铝环、可拆卸支架两部分组成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2.铝环由铸铝制成，内径70mm±2mm，外径110mm±2mm，厚度8mm，其表面做氧化处理。铝环底面分布有互为120°的三个长方体铝块，用于固定支架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3.支架用直厚度不小于1.6mm的钢板制成，表面经镀铬防锈处理，镀层均匀、牢固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4.3个支架间距应相等，与铝环结合应紧固，放置平稳，无晃动。5.支架为可伸缩式，表面有刻有0-70mm刻度，附带锁紧装置。支架可根据实验要求调整高度，调整范围在130mm-200mm之间，适用于酒精灯及酒精喷灯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试管架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1.产品为塑料制品，塑料制品（透明聚碳酸脂注塑成型）产品外观无明显扭曲、变形现象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2.产品为12孔型式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3.试管柱12个</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4.底座上表面对应孔板上的各孔大小，刻有便于试管放置的凹槽，槽深约3mm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5.试管柱与底座上表面的垂直度2mm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6.塑料制品的试管架，底座应做配重处理。产品在工作台面上放置，应稳定可靠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旋转架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注塑成型，每套为2个，底座规格：89*59mm，塑制支柱直径14mm，高度44mm，支柱应采用可拼接式。支架台插柱为铁制，表面电镀，直径2mm，长度不小于60mm，支架台面规格：38mm×22mm×17mm。支架台开槽为18mm×8mm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百叶箱支架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1.百叶箱支架由竖直架、横支架、连接螺栓等组成，产品表面进行防锈、防腐蚀处理</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2.百叶箱支架为直立式，铁制，高度1米，可拆分</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3.各支架材料为热轧角钢，角钢规格为29×29×3mm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4.各支架通过螺栓连接紧固，组装成“井”字型</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5.组装好的支架应与百叶箱配合牢固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百叶箱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1.箱体的主要尺寸：箱长：430±5mm、箱宽：310±5mm、箱体高：560±5mm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2.百叶箱采用材质稳定、坚韧的杉木或同种质量的木材制成，木材经过脱脂干燥处理，含水量不得大于18%</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3.百叶箱应胶合牢固。不应出现缝隙、松动、歪斜、开裂或变形现象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百叶箱叶片：叶片截面为23±0.5mm×5mm的长方形；叶片表面平直、光洁、无节疤、开裂等缺陷；安装在箱内的叶片，任意相邻两片的厚度不应有明显的差别，两叶片间的垂直间距为12＋1mm；各叶片不应出现歪斜、松动、翘曲</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5.百叶箱的门启闭灵活，在正常使用条件下，不应出现变形、开裂等现象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6.固定百叶箱门所用的绞链，转动灵活，并牢固地将箱门与框架连接，箱门上的锁扣方便把门扣紧</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7.百叶箱顶盖夹贴防水材料，顶盖应胶结牢固，表面平整、光洁，不应有缝隙、开裂，渗、漏水等现象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8.百叶箱表面漆层光洁，色泽均匀，不得有起泡，漏漆或粘有杂物等现象。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四</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电池盒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1.电池盒由盒体、电池极片、接线柱等组成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2.电池盒主体尺寸：155×70×40mm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3.盒体由ABS材料制作，表面光滑，色泽鲜亮，盒体顶部有5个正、负接线柱</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4.电池极片采用磷铜材料，正极有凹点</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5.电池盒的接线柱采用M4接线螺母，电极与接线柱采用铜带连接。6.电池的安装接触良好，装拆方便</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7.电池盒可安放4节1号电池，可实现电压1.5V 、3V 、4.5V 、6V四档电压输出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五</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测量长度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塑料制。长度400mm；表面不应有明显的擦伤、划痕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软尺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1.软尺全长1400mm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2.最小刻度值为1mm，每厘米处的刻线是毫米刻线长的2倍，并标有相应数字。刻线均匀、清晰</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3.尺带为优质软皮制成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六</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托盘天平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1.双盘、单杠杆、等臂，非封闭式横梁由铝合金制成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2.刀子：钢制成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3.最大称量为：400g ,标尺称量为:0-5g,分度值e=d：0.5g,秤盘直径：84mm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4.规格：210mm×84mm×135mm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5.标尺光洁平直，连接部位固紧，分度线均匀， 游码起点对准零线，移动时松紧适宜，当杠杆受到轻微冲击时，游码不移位。刀子垂直地紧固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金属钩码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40g×10，外盒尺寸：105mm*65mm*35mm，钩码由金属镀铬制成。金属钩码成圆柱形，尺寸为直径长26mm，高13mm的圆柱形。带挂钩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体重计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1.由金属底座、脚踏面、刻度盘、调零旋钮等构成,附测身高装置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2.体重计回零误差不大小1/2分度</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3.体重计任一点的平均示差不大小1个分度</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4.脚踏面和底座用厚度不小于2mm的金属板制成，稳定、牢靠，无变形现象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5.刻度盘标有0～120kg的字迹和相应的刻度线，刻度线及字迹应清晰、均匀、工整</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6.调零旋钮运用灵活，无卡滞现象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7.体重计的使用寿命不少于8000次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七</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2"/>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电子停表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功能：单排双道记忆；时间，日历显示；定时响闹提醒；12小时制或24小时制显示；ABS材料；触发式按键；显示精度1/80秒；0，1S；防水结构；1，5V；外面彩色纸盒包装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八</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温度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1.产品长度不小于280mm，直径不小于5mm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2.测量范围：0℃-80℃，最小分度值：1℃</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3.刻度线的颜色能明显区别于内部液体的颜色，玻璃体应无色透明、无裂纹、毛刺等</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4.内部液体应鲜红无沉淀物产生</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5.0℃-80℃的温度测量示值应在刻度标尺的有效刻度线内</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 xml:space="preserve">6.0和5的倍数刻度线应用阿拉伯数字表示该处所代表的温度值                                          </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7.温度测量误差：±1℃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1.产品长度不小于280mm，直径不小于5mm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2.测量范围：0℃-80℃，最小分度值：1℃</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3.刻度线的颜色能明显区别于内部液体的颜色，玻璃体应无色透明、无裂纹、毛刺等</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4.内部液体应鲜红无沉淀物产生</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5.0℃-80℃的温度测量示值应在刻度标尺的有效刻度线内</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 xml:space="preserve">6.0和5的倍数刻度线应用阿拉伯数字表示该处所代表的温度值                                          </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7.温度测量误差：±0.5℃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寒暑表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 指针式,-40℃～+51℃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寒暑表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1.木质材料，外形尺度不小于220mm，宽不小于46mm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2.一侧标示摄氏温度，一侧为华氏温度</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3.玻璃体应无色透明，无裂纹</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4.温度计内部液体应鲜红无沉淀物产生</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5.刻度：刻线清晰、无断线；刻度线的颜色能明显区别于内部液体的颜色，刻线宽0.4mm-0.6mm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6.0和5的倍数刻度线应用阿拉伯数字表示该处所代表的温度值</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7.温度测量范围：-30℃-40℃，测试误差：±0.5℃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最高温度表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1.测量范围：-16℃~+81℃，测量误差±1℃</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2.最小分度值：1℃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最低温度表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1.测量范围：-52℃~+40℃，测量误差±1℃</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2.最小分度值：1℃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九</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条形盒测力计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有塑壳、弹簧、面板和指针等部分组成，零位可调，量程为0－5N，分度值为0.05N。产品尺寸：140mmx35mmx18mm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条形盒测力计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有塑壳、弹簧、面板和指针等部分组成，零位可调，量程为0－2.5N，分度值为0.05N。产品尺寸：140mmx35mmx18mm.产品使用寿命应不少于8000次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条形盒测力计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有塑壳、弹簧、面板和指针等部分组成，零位可调，量程为0－1N，分度值为0.02N。产品尺寸：140mmx35mmx18mm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0</w:t>
            </w:r>
          </w:p>
        </w:tc>
      </w:tr>
      <w:tr>
        <w:tblPrEx>
          <w:tblCellMar>
            <w:top w:w="0" w:type="dxa"/>
            <w:left w:w="108" w:type="dxa"/>
            <w:bottom w:w="0" w:type="dxa"/>
            <w:right w:w="108" w:type="dxa"/>
          </w:tblCellMar>
        </w:tblPrEx>
        <w:trPr>
          <w:trHeight w:val="567" w:hRule="atLeast"/>
        </w:trPr>
        <w:tc>
          <w:tcPr>
            <w:tcW w:w="1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5"/>
              </w:numPr>
              <w:ind w:left="425" w:leftChars="0" w:hanging="425" w:firstLineChars="0"/>
              <w:jc w:val="center"/>
              <w:textAlignment w:val="center"/>
              <w:rPr>
                <w:rFonts w:ascii="宋体" w:hAnsi="宋体" w:eastAsia="宋体" w:cs="宋体"/>
                <w:sz w:val="20"/>
                <w:szCs w:val="20"/>
                <w:highlight w:val="none"/>
              </w:rPr>
            </w:pP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多用电表</w:t>
            </w:r>
          </w:p>
        </w:tc>
        <w:tc>
          <w:tcPr>
            <w:tcW w:w="0" w:type="auto"/>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1、不低于2.5级</w:t>
            </w:r>
          </w:p>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2、指针灵活，测量准确，表面清晰，分格均匀</w:t>
            </w:r>
          </w:p>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3、配测笔一套。可测量范围：交流电压：0-10-40-240-400V，直流电压：0-2.5-10-40-240-400V  直流电流：0-40μA-1-10-80-400mA电阻：0-2KΩ-20KΩ-200KΩ-2MΩ-20MΩ音频电平：-10~5±22db</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Chars="0"/>
              <w:jc w:val="center"/>
              <w:rPr>
                <w:rFonts w:ascii="宋体" w:hAnsi="宋体" w:eastAsia="宋体" w:cs="宋体"/>
                <w:sz w:val="20"/>
                <w:szCs w:val="20"/>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vMerge w:val="continue"/>
            <w:tcBorders>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Chars="0"/>
              <w:jc w:val="center"/>
              <w:rPr>
                <w:rFonts w:ascii="宋体" w:hAnsi="宋体" w:eastAsia="宋体" w:cs="宋体"/>
                <w:sz w:val="20"/>
                <w:szCs w:val="20"/>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十一</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其它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6"/>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湿度计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指针式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1.温度在-10℃以下±2℃时，湿度为40%RH以下±10%</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2.温度在-10℃~40℃±1.5℃时，湿度为40%RH~75%RH±7%</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3.温度在40℃以上±2℃时，湿度为75%RH以下±10%</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4.产品尺寸直径为：132mm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6"/>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指南针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1.指南针由菱形针体、圆形塑料盒、地理指向图及钢针组成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2.磁针体长29mm，宽2.5mm，厚0.8mm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3.磁针出厂一年内，用CT3型高斯计测试不低于40高斯</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4.磁针体采用含碳量0.75%～1.2%的碳素工具钢,经热处理后硬度为HR56°～58°</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5.塑料盒分盒体和盒盖。盒体为有色塑料制成，盒盖为透明塑料制成。盒盖与盒体应配合紧密，总体尺寸为Ф43mm×10m。座底应平整，放置于桌面不应有晃动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6.地理指向图尺寸为Ф30±0.5mm，平贴于盒体内侧的底部，粘贴时应与钢针同心，不应有明显偏差，文字及刻度线应清晰可辨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7.钢针安装在盒体的中心部位，钢针垂直于底面，针尖身上，针长9mm，嵌入盒底深度不小于2mm。钢针与盒体应结合牢固，钢针不应轻易被拉出。钢针要进行防锈处理，针尖应无毛刺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8.磁针体放置在钢针上，转动应灵活，无明显阻滞现象。针面应与水平面平行,不应有明显歪斜</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9.磁针体应喷漆，北极（N）为红色，南极（S）为蓝色或白色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6"/>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肺活量计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材质：橡胶管、不锈钢外筒、ABS工程塑料内筒</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规格：5.5L</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可以用浮筒法和直排法测量肺活量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显示方式：数字式显示方式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6"/>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雨量器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1.由承水器(漏斗)、导水漏斗、安装框架、储水筒(外筒)、储水瓶及雨量杯组成。由承水器((雨量收集器)收集到的雨水，直接进入储水瓶，然后到入雨量杯测量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2.测量口径：φ200±0.23mm，雨量杯为专用透明塑料量筒，产品外形尺寸约：φ205mm×680mm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6"/>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风杯式风速表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1.由风速传感器和主机等部件构成，主机面板上需带有LCD显示屏和功能键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2.显示屏尺寸不小于45mm×30mm，显示的数字高度尺寸不小于18mm×9mm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3.可测瞬时风速、平均风速、瞬时风级、平均风级、对应浪高等参数，并带有数据锁存功能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4.风速测量范围为：0～30m/s,传感器启运风速0.8m/s,风速测量精度：±（0.3+0.03×V)m/s(V为实际风速）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十二</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专用仪器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default" w:ascii="宋体" w:hAnsi="宋体" w:eastAsia="宋体" w:cs="宋体"/>
                <w:sz w:val="20"/>
                <w:szCs w:val="20"/>
                <w:highlight w:val="none"/>
                <w:lang w:val="en-US" w:eastAsia="zh-CN"/>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小学科学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斜面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1.产品由斜面，滑块，塑料小桶，滑轮等组成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2.斜面尺寸：815x80x20mm，一端可装滑轮，另一端装着护板</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3.滑块尺寸：80x80x40mm,两个摩擦面的对应面分别刻有四个和二个圆柱形槽，以安装砝码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压簧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1.本产品为金属制品，产品长度82mm,簧片间隙为4mm.压缩后为30mm.压缩力5N</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2.表面镀铬</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3.产品无明显缺陷、变形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拉簧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本产品为金属制品，产品长度72mm,伸长长度不小于200mm.拉力为5N。表面镀铬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沉浮块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主要技术参数：产品由水槽及盖（水槽和盖分别采用透明塑料注塑成型、水槽尺寸：200mm×80mm×80mm，盖与水槽配合良好）；立方体块大小不同重量相同5个（正方体的边长分别为：40mm、40mm、35mm、30mm、20mm）；半球体大小相同重量不同4个（半球直径为36mm）；圆柱筒重量45g1个（圆柱筒直径30mm、高60mm）；浮体塑料鸡蛋1个（可打开）直径17mm高度38mm；浮筒透明带盖1个（浮筒直径为35mm，高80mm）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杠杆尺及支架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由底座、支杆、杠杆尺组成。底座尺寸：140mm*80mm*20mm，支杆长度不小于200mm，杠杆尺长度440mm，宽度28mm ，两端应有调平螺母，沿中间孔两边均匀分布至少4个孔，并标记有刻线及数字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滑轮组及支架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该仪器由底座、支杆、滑轮、滑轮架、横梁、梢轴、细线组成。底座尺寸：140mm*80mm*20mm，立杆尺寸为：213mm×28mm×10mm，横梁的尺寸：130mmx30mmx6mm.滑轮为单滑轮，至少应配三个，滑轮的直径不小于40mm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轮轴及支架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直径不同的三个轮盘、支杆、底座及挂线组成。三个轮盘外径分别约为φ80mm、φ40mm、φ20mm，三个轮盘线槽直径比为2:2:1；底座尺寸：140mm*80mm*20mm，支杆长度不小于200m，底座与支杆组装后总高度为235mm；挂线共三根，每根长度不小于340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齿轮组及支架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由底座、支杆、齿轮、手摇柄组成。底座尺寸：140mm*80mm*20mm，立杆尺寸为：213mm×28mm×10mm，齿轮三个，齿数分别为44、34、24，直径分别约为70mm、55mm、40mm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弹簧片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弹簧钢片，长不小于110mm，宽不小于12mm，厚度不大于0.3mm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车由车身、挂钩、纸带夹、车轮等组成；车身由ABS工程塑料制作，外形尺寸约为120×80×45mm，上表面设有放置砝码的孔；纸带夹由磷铜片制作，尺寸约为30×10×2.5mm，表面电镀处理，纸带夹与车身用螺杆连接牢固；小车车轮与车轴用铝材制作，车轮尺寸约为直径20×55mm，小车轮轮距不小于40mm，轴距不小于65mm，轮轴总质量不大于40g；小车在70mm长度平面内，直线运动偏差小于5mm，当小车在1:35斜度之斜面板上能自由下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三球仪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外形尺寸：420x220x300mm,由底座、太阳模型、地球模型、月球模型、四季盘、月相盘、指针、回转组件、转转台、推柄等组成。底座直径φ220mm；太阳模型直径φ80mm；地球模型上能观察到七大洲、四大洋、南北极圈、南北回归线、赤道和国际日期变更线；四季盘上有表示四季和二十四个节气的名称、次序和日期等标识；月相盘上有月相的位置和地球上的昼夜等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太阳高度测量器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仪器由底盘、指南针、角度盘、支架、立杆等组成，仪器底座尺寸：不小于φ130　mm×12mm，底盘圆周方向印有0°-360°角度刻度线，分辨率为5°，直径线上印有5条等距长度刻度线。指南针固定在0°刻度线上，指南针直径为20mm，指南针带有8个方位，角度盘是一个直径120mm的1/4圆，通过角度盘支架装配在底盘中心。角度盘标标有0°-80°，每5°处标有一小格，10°标有一大格，最小刻度值为1°，角度盘角度可调，两端分别有投影孔和影屏孔，立杆长度30mm，可垂直插入底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风的形成实验材料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1.仪器由底座、观察窗，进风管、出风管，风叶、支架等组成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2.底座由冷轧板制成，尺寸为340*120*12mm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3.观察窗由铝合金制成，尺寸为80*80*80mm，其两面安装透明塑料盖，可根据实验要求打开。顶面及侧面有直径45mm的圆孔用于进风，出风。底部安有烛台</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出风管为塑料制品，外形里圆柱形，外径为52mm，高185mm，壁厚2mm，底部有三个支架，可安装在观察窗上。风叶为铝制品，铝箔厚度为0.20mm．风叶为六片，直径为40mm。铁架由0.7mm厚镀锌铁皮制成，上面固定有一根10mm长的钢针，针尖朝上，用于承载风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进风管为塑料制品，外形里圆柱形，外径为52mm，高200mm，壁厚2mm，底部有三个支架，可安装在观察窗上。风叶为铝制品，铝箔厚度为0.20mm．风叶四片，直径为40mm。支架由塑料制成，中心有一根20mm长的钢针，用于承载风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6.附件中应配各适当尺寸的蜡烛供实验用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7.该仪器底部放入点燃的蜡烛．进风管及出风管的风叶会产生旋转，正反两面可见，效果明显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组装风车材料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产品由立杆、转轴、彩色纸片等组成。方形纸片尺寸为122*122mm，四角有安装孔。立杆直径为7mm，长度280mm，与转轴配合良好不松脱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组装水轮材料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底座、立杆、支架、水轮片等组成。水轮直径：Φ82mm，厚为2.5mm,平均分布6片叶片，尺寸为30*22*2mm，与支架配合良好，转动灵活。立杆直径：Φ6mm,长度为70mm，一端带有M3*6螺纹，底座尺寸为65*20mm*20mm，产品要放置平稳。组装后无晃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太阳能的应用材料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结构：产品应由太阳能电池板、小电机、蜂鸣器组成。太阳能电池板有效面积应不小于40mm×40mm2.带有输出导线，两端带有红黑鳄鱼夹。小电机组件应有输出连线可与太阳能电池板方便连接，配有小风叶。风叶直径不小于40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性能：太阳能电池板在距离80W白炽灯10mm处光线直射时，最大开路电压不小于2.0V.太阳能电池板在距离80W白炽灯10MM处光线直射时，最大短路电流不小于40mA3.在直流1.5V的工作电压下，小电机能起运动转，电流不大于30mA。蜂鸣器声音响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音叉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频率206Hz，执行JY/T0395-2007标准，本仪器系用整块优质钢材制成。表面镀铬。总长约为200mm，叉枝截面为5.5×8.5 mm。另附共鸣箱一只和橡皮槌一个。频率误差不大于±0.4Hz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鼓身为实木，直径165mm，高度72mm。双面鼓面，采用皮质材料制作，鼓面直径应不小于140mm，鼓棰：为实木圆柱形，头尾导圆角，2支，规格约Φ12mm×165mm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热传导实验材料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产品由木片、铁片、塑料片、玻璃片、陶瓷、棉花、石棉组成。玻璃、铁片、塑料片、金属片尺寸均为70*10mm，陶瓷为空心圆柱外径14mm，内径8mm，长度55mm，壁厚3mm。棉花不少于2g，石棉尺寸：40*20mm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物体热涨冷缩实验材料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1.本仪器根据“义务教育课程标准实验教科书”的教学要求设计，用于演示固体的热胀冷缩之用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2.产品为手持式，由带吊链手柄的铜球与带手柄的圆环及带柄塑料球组成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3.手柄为黄铜制成，总长不小于210mm。一端有防烫手柄，另一端附有金属链。金属链长不小于80mm；另一头连接塑料球及铜球</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4.塑料球和铜球直径为20mm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5.实验圆环与铜球，塑料球直径相配套，带有手柄，总长不小于240mm。圆环为黄铜制成，外径不小于38mm，厚6mm,内径20mm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6.塑料球用热水加热，铜球用酒精灯加热。实验效果明显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灯座及灯泡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螺旋式灯座，可与E10小电珠配用。小灯座由底板、接线柱、灯座组成。底座采用酚醛塑料制作，外形尺寸约为75×35×10mm，底座上有两个直径为4.5mm的安装孔，孔距为40mm；灯座采用厚度不小于0.5mm的磷铜片制成；接线柱为M4，行程不小于6mm；小灯座最高工作电压为36V，最大工作电流为2.5A。灯泡为2.5V或3.8V小灯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底座、接线柱、闸刀、刀座、手柄等组成。底座采用酚醛塑料制作，外形尺寸约75×35×10mm，底座上的两个安装孔直径为3.4mm，孔距62mm；接线柱为M4，行程不小于6mm；闸刀、刀座采用厚度为0.8mm的金属片制作，闸刀有效长40mm，宽8mm。单刀开关最高工作电压为36V，最大工作电流6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物体导电性实验材料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包括盒体、支架、电池盒、电池及测试片（铜、铁、铝、塑料）制成。2、盒体为塑料制成；尺寸为长105mm、宽度70mm、高度30mm；上方有测试卡座；指示灯采用直径5mm发光二极管，测试片尺寸为60*8mm。3、产品兼顾液体导电实验。采用5号电池供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条形磁铁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1.D-CG-LT-180，每套为2个，T054</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2.每套磁铁分为N极和S极，S极用蓝色表示，N极用红色表示，其中每个磁铁的尺寸为：170mm*20mm*10mm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3.采用纸盒包装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条形磁铁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学生用，规格约37mm×9.5mm×6mm。每套为2块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蹄形磁铁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1.蹄形磁铁外形呈 “U”形，铁芯截面积为20mm×10mm，高80mm，开口间距为60mm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2.蹄形磁铁由铁氧体材料制成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3.蹄形磁铁用CT3型高斯计测试两极磁感应强度不低于2000高斯</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4.蹄形磁铁外表应喷漆， N极为红色，S极为蓝色，红蓝色以磁铁的中心截面对称（不对称度不超过1mm）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5.蹄形磁铁外表喷漆应均匀光亮，应无流痕、斑点和气泡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6.蹄形磁铁各尺寸公差不大于0.6mm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7.蹄形磁铁外形对称,两磁极端面应平整,端面朝下应能稳定放置于水平台面。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蹄形磁铁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1.蹄形磁铁外形呈 “U”形，铁芯截面积为10mm×7mm，高43mm，开口间距为18mm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2.用红、蓝二色标明N,S极</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3.蹄形磁铁外形对称,两磁极端面应平整,端面朝下应能稳定放置于水平台面。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磁针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1.磁针由垂直翼形针体和支座组成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2.磁针体长143mm，宽8mm，厚0.8mm。两翼斜面向下</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3.磁针出厂一年内，用CT3型高斯计测试不低于80高斯</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4.磁针体采用含碳量0.75%～1.2%的碳素工具钢,经热处理后硬度为HR56°～58°</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5.磁针体直度公差不大于1mm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6.磁针体的中心面要与两翼面成80°,不应明显歪斜</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7.支座为黑色塑料制成，总高度80mm，底座和支柱为可拆式。支柱与底座应配合紧密，座底应平整，放置于桌面不应有晃动。针尖要进行防锈处理，针尖应无毛刺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8.磁针体在支柱的针尖上应转动灵活，无明显偏斜、阻滞现象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9.磁针体应喷漆，北极（N）为红色，南极（S）为蓝色或白色。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环形磁铁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学生用，直径32mm，厚度5.5mm，每套为2块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电磁铁组装材料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1.本产品由蹄形铁芯1只、铁桥板1只、塑料骨架(2只)、导线2条等组成，产品组装后的总体尺寸为70mmX20mmX 70mm。蹄形铁芯直径为8mm，为圆柱形铁材加工制成，零件呈‘U’字形，圆弧部外侧半径为20mm,倒弧顶部距开口端间距为55mm，圆弧顶部配有铁丝拉环。铁桥板由厚度不小2mm的铁板材制成，尺寸为40mmXlOmm，平面的中心位置设有拉环，拉环铁丝直径不小于2mm，铁环直径不小于lOmm。塑料骨架绕线槽宽度不小于26 mm，绕线槽深不小于6mm。壁厚不小于lmm，导线的规格是0 15mm的多股铜芯单层PVC绝缘线，每条长度2米</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2.所有铁制品均应有防锈镀层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3.产品的各个部件应无明显缺陷和损伤</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4.本产品备尺寸公差均为自由公差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5.将导线绕入骨架后接入1.5v的直流电源，将桥板搭放在蹄形铁芯的两端，下方挂环可负重400g以上的重物。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1.产品由一个U形铁芯、两只线圈、一块衔铁和两根连接线组成,衔铁和铁芯装有铁钩可以悬挂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2.线圈绕制应规范整齐，平绕的线圈不得有跳线、重线和脱线</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3.U形铁芯直径8mm,外侧间距45mm,高度不低于66mm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手摇发电机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外壳、传动机构、小电机、灯珠、连接导线、接线柱、等组成。仪器可手持演示，也可夹持在实验台边演示。外壳采用透明性好的“372”材料制作，能清晰看清仪器内部结构；传动机构采用摇把带动齿轮传动，各齿轮啮合紧密，传动灵活；小电机功率2-3W，转速6000-8000转/分，工作电压3V，电流0.8A；灯珠采用6V,0.3A小电珠，还可通过接线柱外接直流，电源可 作电动机用，说明电能可转换为机械能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小孔成像装置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1.产品为散装式，由白屏1块、黑屏1个、底座2个、蜡烛组成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2.白屏由优质塑料制成，尺寸：80mm×60mm，厚度2mm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3.小孔板为黑色塑料制成，中间有1.5mm小孔，尺寸：80mm×60mm，厚度2mm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4.底座用优质塑料制成，规格不小于直径64×20mm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曲面镜及支架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1.由凸面镜、凹面镜、底座等组成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2.材质为光学玻璃、金属、塑料</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3.镜面直径4.5cm，支架约9cm，底座长*宽约4*5cm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透镜、棱镜及支架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1.由凸透镜1个、三棱镜1个、支杆2支、支架2个、底座2个组成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2.凸透镜应用光学玻璃制作，焦距F=70mm,有效尺寸不小于Φ40mm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3.三棱镜应用光学玻璃制作不小于棱长20mm,厚20mm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4.底座用优质塑料制成，规格不小于直径64×20mm。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成像屏及支架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1.由白屏、透明白屏、支架组成。白屏、透明白屏：80mm×60mm×2mm；材质为塑料制成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2.支架2个,支架尺寸： 64mm*20mm*21mm.支架中间有一凹槽，白屏、透明白屏与支架凹槽配合良好，无松动、脱落现象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1.环氧乙烷灭菌，无毒，无热源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2.规格30mL</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3.全新塑料注射器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7"/>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单摆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两个摆球，塑料摆球和铁质摆球，球直径不小于19mm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十三</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小学科学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儿童骨骼模型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模型PVC材质。男性儿童骨骼模型，高不小于420mm，串制成正常直立姿态于支架上，各部位骨骼尺寸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儿童牙列模型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1.适用小学自然教学演示时使用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2.模型取正常儿童男性牙齿的上颌和下颌部分，用蛇形管连接，可自由张开、闭合，并附牙刷</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3.产品采用优质复合树脂制作成型后经高档漆喷漆绘色而成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4.外形尺寸为：上颌部分：不小于160mm×130mm×60mm，下颌部分：不小于160mm×130mm×55mm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5.附牙刷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少年人体半身模型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1.产品为高约600mm的男性少年头颈躯干解剖模型，显示人体内脏器官的正常位置，形态结构 及其相互的关系，重点显示呼吸、消化和泌尿三个系统</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2.优质PVC材料，内脏各器官应形态正确，比例适当、纹理清晰，连续准确的切面平整，着色准确、鲜明、颜色不得溢出外界</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3.产品应符合JY158-84《人体头、颈、躯干模型技术条件》的规定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眼构造模型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1.产品为放大的眼球成像系统，前后径不小于145mm，置于支架上，模型要用硬塑混合树脂制作</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2.眼球后部约1/5处作一垂直于眼球轴线的纵剖,上置直径不小于60mm的成像观察屏</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3.成像观察屏能沿眼球轴线移动，能演示正视、远视、近视、能用镜片校正</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4.虹膜中央的瞳孔直到为20mm，结构应正确、逼真、成像应清晰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8"/>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月相变化演示器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1.圆盘式，用黑、白半球代表月球；采用黑、白半球可以不用强光照射得到明显的现象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2.盘上标有新月、凸月、上弦月、满月、下弦月、眉月、钩月和日期等，以及太阳光照射方向</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3.演示内容符合教学要求，色彩柔和，字迹和线条清晰，标记醒目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4.产品结构牢固，表面光洁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十四</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植物种子传播方式标本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1.塑料标本盒，尺寸为170mm×120mm×30mm，标本盒底部印有与各标本对应品名的文字</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2.标本由4种或以上常见植物植株及种子、种子传播方式等组成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3.标本保色、清洁、完整、美观、定位牢固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4.植物植株和种子应作防腐、防虫处理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天然材料标本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1.塑料标本盒，尺寸为170mm×120mm×30mm，标本盒底部印有与各标本对应品名的文字</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2.产品有木、竹、棉花、石油、煤、矿石等组成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人造材料标本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1.塑料标本盒，尺寸为170mm×120mm×30mm标本盒底部印有与各标本对应品名的文字</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2.标本分别为金属、塑料、玻璃、陶瓷、纸、布、密度板、水泥等8种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纺织品标本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1.塑料标本盒，尺寸为170mm×120mm×30mm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2.标本盒底部印有与各标本对应品名的定位表格</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3.标本分别为棉及其纺织品、麻及其纺织品、丝及其纺织品、毛及其纺织品、化纤及其纺织品、混合及其纺织品等12种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各种纸样标本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1.塑料标本盒，尺寸为170mm×120mm×30mm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2.标本盒底部印有与各标本对应品名的定位表格</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3.标本分别为书写纸、静电复印纸、传真纸、装饰纸、白板纸、铜版纸、卫生纸、蜡光纸、瓦楞原纸、印刷纸、照相纸、绝缘纸等12种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矿物标本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1.塑料标本盒,尺寸为135mm×110mm×20mm.标本盒底部印有与各标本对应品名的文字</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2.本产品有6种组成，分别为：石英、煤矿、铝土矿、正长石、大理石、白云石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岩石标本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1、.塑料标本盒,尺寸为135mm×110mm×20mm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2.标本盒底部印有与各标本对应品名的文字</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3.标本分别为花岗岩、砂岩、页岩、石灰岩、大理岩、砾岩等6种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金属矿物标本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1.塑料标本盒,尺寸为135mm×110mm×20mm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2.标本盒底部印有与各标本对应品名的文字</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3.标本分别为黄铜矿、磁铁矿、铝土矿、白钨矿、锡石、菱镁矿等6种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土壤标本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1.塑料标本盒，尺寸为170mm×120mm×30mm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2.标本盒底部印有与各标本对应品名的文字</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3.标本分别为红壤、砖红壤、黑钙土、紫色土、水稻土等5种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9"/>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矿物提炼物标本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1.塑料标本盒，尺寸为170mm×120mm×30mm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2.标本盒底部印有与各标本对应品名的定位表格，标本用胶水固定在表格上</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3.标本分别为：石油、合成洗涤剂、塑料、医药、橡胶、合成纤维、铜矿石、铜、铝矿石、铝、铁矿石、铁等12种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numId w:val="0"/>
              </w:numPr>
              <w:ind w:leftChars="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十五</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玻片标本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植物根尖纵切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适用于生物学分组观察。标本应取于人工培养的玉米根或蚕豆，取村部位为根冠至根毛区。切片厚度在5μm以内，每张玻片垂直放置材料1~2片。细胞核着色明显、均匀、可见核仁、胞质。标本应在80X和200X学生显微镜下清楚观察到根尖结构，看清根冠、分生区、伸长区、根毛区和原形成层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木本双子叶植物茎横切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1.标本在80×和200×学生显微镜下观察木本植物茎横断面的结构</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2.能看清表皮（有脱落现象，有时可见皮孔）、木栓层、厚角组织、皮层、韧皮部、形成层、木质部、髓部、髓射线等</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3.在木质部能看清年轮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4.在皮层、韧皮部和髓部的细胞中有时可见草酸钙结晶</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5.切片厚度在15um以内</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6.标本用蕃红、固绿染色，木质部和韧皮纤维呈红色，其他组织呈绿色（髓射线在木质部可呈红色）</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7.各部组织无破裂，表皮脱落应不超过1/4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草本植物茎横切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洋葱表皮装片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叶片横切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叶片气孔装片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动物表皮细胞装片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蛙卵细胞切片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骨细胞切片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口腔粘膜细胞装片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0"/>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人血细胞装片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十六</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玻璃仪器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both"/>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量杯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φ15mm×140mm高硼硅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φ18mm×180mm高硼硅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烧瓶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圆、长，240mL高硼硅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锥形瓶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酒精灯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规格：140mL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漏斗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60mm高硼硅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滴管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产品为直形滴管，上部套有吸液用的橡皮头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集气瓶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120mL高硼硅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镊子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不锈钢;总长度为80mm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试管夹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木制品;总长度不低于174mm,宽度不低于13mm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石棉网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由铁丝网及石棉组成，尺寸：120mm*120mm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燃烧匙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由铜质半圆面和金属钢丝结合制成，总长度不低于245mm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药匙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塑料制.每套三个，分不同颜色，长度分别为：145mm、130mm、120mm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玻璃棒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φ5mm～φ6mm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千克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试管刷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由金属丝和胶合在其上的猪鬃毛制成,总长度不低于240mm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烧瓶刷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由金属丝和胶合在其上的猪鬃毛制成,总长度不低于280mm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培养皿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蒸发皿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瓷，60mm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1"/>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塑料量杯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本产品为带刻度的透明容器，外形为水杯形， 外径65mm，高87mm ，最小分度值10mL，,最大容量：400mL±10mL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十七</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药品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2"/>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酒精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千克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十八</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其它实验材料和工具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numId w:val="0"/>
              </w:numPr>
              <w:ind w:leftChars="0"/>
              <w:jc w:val="both"/>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实验材料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小学科学一般实验材料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蜡纸、锡箔纸、塑料手套、塑料管、毛细管、种子、橡皮泥、种植土、过滤纸、导线、碘酒、蜡烛、塑料薄膜、透明塑料袋、不透明塑料袋、棉布、吸管、食用油、食盐、食糖、气球、方格纸、松香等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载玻片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1.玻璃制品,规格为：760mm*260mm*1mm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2.表面清洁透明无杂质.3、每个包装为40片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3"/>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盖玻片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1.玻璃制品,规格为：18mm*18mm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2.每个包装为40片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nil"/>
              <w:left w:val="single" w:color="000000" w:sz="8" w:space="0"/>
              <w:bottom w:val="nil"/>
              <w:right w:val="nil"/>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小学数学仪器</w:t>
            </w:r>
          </w:p>
        </w:tc>
        <w:tc>
          <w:tcPr>
            <w:tcW w:w="821" w:type="dxa"/>
            <w:tcBorders>
              <w:top w:val="nil"/>
              <w:left w:val="nil"/>
              <w:bottom w:val="nil"/>
              <w:right w:val="nil"/>
            </w:tcBorders>
            <w:shd w:val="clear" w:color="auto" w:fill="auto"/>
            <w:vAlign w:val="center"/>
          </w:tcPr>
          <w:p>
            <w:pPr>
              <w:rPr>
                <w:rFonts w:ascii="宋体" w:hAnsi="宋体" w:eastAsia="宋体" w:cs="宋体"/>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计算器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简易型                                                    1.8位数单行LCD显示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2.有普通四则运算功能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3.有自动关机功能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4.有开方运算功能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5.有百分号功能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6.有有临时储存器功能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7.应保留普通计算器的基本功能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软尺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1.软尺全长2000mm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2.最小刻度值为1mm，每厘米处的刻线是毫米刻线长的2倍，并标有相应数字。刻线均匀、清晰</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3.尺带为优质软皮制成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托盘天平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产品应为非封闭等臂杠杆、双盘式托盘天平，整机以金属件制作。有标尺游码装置，最大称量：400g，分度值：1g，标尺称量范围：0～10g，秤盘直径：Φ120mm。结构：杠杆为钢材制成，刀子碳素钢制成，标尺应光洁平直，刻线清晰，分度牌刻线均匀。游码起点应对准零线，移动时松紧适宜，当杠杆受到轻微抨击时，游码不得移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简易天平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1.产品由底座1件、横梁架1件、托盘架圈2件、托盘筒2件、游码1个、10克槽码16个、5g槽码8个组成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2.底座：由塑料制成，外形尺寸：108mm*85mm*77mm，V形槽间距30.86mm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3.横梁架：由塑料制成，两端V形槽间距240mm，刻度尺0刻度居中，刀口与刀槽无明显缺陷</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4.托盘架圈：由塑料制成，内径74mm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5.托盘筒：由塑料制成，筒口部外径78mm，筒高65mm，托盘筒容积大于200ml</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6.、游码、槽码：铁制，游码质量为12.4g±0.4g，槽码质量分别为10g±0.4g、5g±0.4g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弹簧度盘秤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应为封闭式结构，指针式仪表盘，透明可视，盘托、支架、计量弹簧、外壳等部件。应带有归零可调装置，秤盘应为塑料制成，具有足够的防腐能力，最大称量1kg，最小称量40g，分度值5g，准确度等级应为3级，称量允差±5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圆规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1.圆规由塑料制成，分规身、粉笔套、规脚三部分组成，塑料壁厚不小于2.5mm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2.圆规总长不小于440mm，合拢宽度不小于47mm，厚度不小于19mm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3.圆规尾部用M5螺栓连接，用鱼尾螺母紧固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4.圆规前端粉笔夹能夹持Φ8mm-Φ12mm的粉笔，粉笔夹插孔深度不小于40mm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5.圆规脚由橡胶吸盘组成,橡胶吸盘直径不小于32mm，旋转灵活，紧套在规脚上不会脱落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6.圆规表面挺直、无凹陷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量角器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演示用，由塑料制成，整体厚度不小于8mm,塑料壁厚不小于3mm，手柄可以自由拆卸，尺寸为120X40X20mm，手柄弧度符合人体工学.整体采用黄颜色，蓝色刻度线，0°～180°，底边长度为400mm,高度280mm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专用直尺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木制尺寸：800*20*8mm。1、平整清洁2、表面不应有明显的擦伤、划痕和碰撞的坑疤3、无霉变、虫眼、死节、树脂漆4、无明显变形 5、漆层不应有流疤、龟裂、剥落和露底结构1．结构合理，工艺性好2．木材应经干燥处理3．刻度长度1m，分别有米,分米,厘米,毫米四种单位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1.产品形状为圆形，材料为无毒、环保优质塑料。2.产品的颜色要求纯正、鲜艳，表面要求光滑、无毛刺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3.产品的规格尺寸及数量：直径（mm）：φ20、30粒、三种颜色、每色10粒、配不透明袋。</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4.塑料球保证在温度-20～40℃的条件下贮存不得产生变形、开裂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 产品表面无明显缺陷和变形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计数片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产品采用塑料制成，三种几何图形，圆形 不小于φ15mm，正方形 不小于15mm×15mm，正三角形  边长不小于15mm，各片厚不小于1mm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竖式计数器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底座和档板采用塑制，底座规格260mm×80mm×72mm，档板规格203mm×135mm×3mm，档板能遮挡全部算珠，算珠由彩色塑料注塑成型，共有三档算珠，分三种颜色，每档10颗珠子，算珠Φ30mm，厚度10mm，算珠杠应采用Φ5mm的塑料杆制成，呈“∩”型，底座一面印有相应的数位“个、十、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竖式计数器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底座和档板采用塑制，底座规格260mm×80mm×72mm，档板规格203mm×135mm×3mm，档板能遮挡全部算珠，算珠由彩色塑料注塑成型，共有五档算珠，分五种颜色，每档10颗珠子，算珠Φ30mm，厚度10mm，算珠杠应采用Φ5mm的塑料杆制成，呈“∩”型，底座一面印有相应的数位“个、十、百、千、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竖式计数器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学生用五档，每档珠数10个，珠径11mm，珠色为单色。档板尺寸不小于：104mm×60mm×2mm，能遮挡全部算珠。算珠杠应采用Φ3mm的塑料制成，呈“∩”型。计数器底座一面印有相应的数位“个、十、百、千、万”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演示算盘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十七档（位），上二下五珠，外框塑料制，尺寸720mm×220mm×36mm。中间有六条筋牵住，产品表面平整光滑，四角无尖锐棱角；算珠为塑料制，外径Φ32mm，厚16mm，算盘竖直时，算珠应不会自滑；算珠串杆Φ5mm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计数棒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每套80根。产品材质为优质塑料，棒长不小于80mm，截面直径为Φ2±0.55mm计数棒颜色5种，每色各20根，棒体通直，粗细均匀。3、产品可触及边缘、边角、分模线，不应有锐利毛边、尖端、或溢边，或加以保护使之不可触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计数棍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1.演示用，每10根一捆，共10捆，数量80支，为塑料空心棒，棒长不小于80mｍ，截面直径为Φ1.5±0.1mm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2.、计数棒颜色5种，每色各20根，棒体通直，粗细均匀</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3.产品可触及边缘、边角、分模线，不应有锐利毛边、尖端、或溢边，或加以保护使之不可触及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钉板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采用胶合板，规格580mm×380mm×7mm，配有橡皮筋，板面图案采用喷绘制作，表面覆光膜，板面上应绘有等分方格160块，在方格的每一交点处嵌有铜钉，铜钉均等高，钉头应比钉身大，防止橡皮筋滑落，用橡皮筋可在钉板上直观地围成几何图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钉板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一块透明塑料钉板和四根橡皮筋组成。透明钉板尺寸为200mm×200mm，厚度不小丁2.5mm。上面横竖分布着49条等距刻度线(间距不小于30mm），形成36个棋盘式小方格。每两条横竖相交刻度线的交义点上都有一个梢钉(供钩挂橡皮筋用)，其直径3mm，高度6mm。橡皮筋为圆环状，直径不小于30mm，不大于40mm，横截面积不小1.2mm×1.2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2.用橡皮筋应能在钉板上勾列出多种多地形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钉板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用，规格140mm×140mm,由钉板和橡皮圈3根组成。钉板采用进口改性环保聚苯注塑制成，颜色呈乳白色，规格为140mm×140mm，板一面上绘有144个等分方格，其线条清晰、整齐、粗细一致。在方格的每一交点处嵌有小钉，小钉等高。另一面为圆，圆的周长为12支钉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数字骰子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不小于12mm×12mm×12mm，每个侧面上有不同的字,不少于3个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空白骰子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不小于12mm×12mm×12mm,不少于2个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几何图形片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1.包括正方形（30×30mm）、长方形（60×30mm）、等边三角形（边长30mm）、平行四边形（底45mm，高30mm）、梯形（下底60mm、上底30mm、高30mm）、圆形（Φ30mm)等几何图形片组成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2.各形状片外形每单个几何尺寸均不小于20mm，厚度不小于1mm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3.形状片表面平整光洁，边缘平直无毛刺，无明显变形现象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计数多层积木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1.仪器由大塑料块9只，中塑料块9只，小塑料块10只组成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2.小塑料块尺寸：10mm×10mm×10mm、中塑料块尺寸：80mm×10mm×10mm、大塑料块尺寸：80mm×80mm×10mm 三种规格的积木块组成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七巧板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1.产品由一个正方形分割的七块几何图形，七种颜色，所组成的正方形≥80mm×80mm，厚≥1mm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2.应由无毒塑料制成，由七个几何图形片组成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3.七种颜色，所组成的正方形、平行四边形、大号等腰直角三角形、腰直角三角形、直角三角形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角操作材料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由三条操作条组成，尺寸：80mmx8mmx2mm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图形变换操作材料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产品由平行四边形、梯形、三角形各2片的几何图形片组成；平行四边形底边45mm，高30mm，梯形上底边30mm，下底边60mm，高30mm，三角形为直角三角形,底边长30mm,高：51mm ；各几何图形片均由无毒的优质塑料制作，厚度不小于1.5mm；三种形状的几何图形片应为彩色，颜色鲜艳、纯正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面积测量器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厚度不小于0.2mm的透明性好的塑料片制作，边长不小于80mm的正方形片；产品上印制80×80mm边框线，在边框线内绘制5×5mm平均等分线，每5mm的等分线宽不小于0.20mm，每10mm的等分线宽不小于0.5mm，在边框线相邻的两条边线上每10mm处标记1、2、3、4、5、6、7、8、9的数字，数字大小适宜，线框和数字印制清晰、醒目，不得有断线等缺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探索几何图形面积计算公式材料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1.产品由长方形、正方形、三角形、圆形、平行四边形、梯形等几何图形片组成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2.长方形尺寸：60mm×30mm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3.正方形尺寸：30mm×30mm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4.扇形半径：30mm。共16块</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5.平行四边形尺寸：底边45mm，高30mm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6.梯形尺寸：上底30mm，下底60mm，高30mm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7.各几何图形片均由塑料制成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探索几何形体体积计算公式材料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1.产品由正方体、圆柱体、圆锥体（与圆柱体等底等高）16等分扇形块组成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2.正方体尺寸为10mm*10mm*10mm，圆柱体和圆锥体尺寸为高60mm，底面直径60mm，透明塑料制成。16等分扇形块由两种颜色组成，可拼接成一个长方体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口算练习器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1.产品由演示面板、数字旋转盘、加减乘除法运算符、支脚组成，整个产品为塑料制成，产品采用纸盒包装</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2.面板尺寸约为305mm×132mm×12mm，面板上含有3个数字显示窗口，其中两个尺寸为20X20mm，一个为30X20mm,能显示两位数，加减乘除为∅34mm圆形窗口，里面可以加减乘除随意转换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3.数字旋转盘：圆盘外径为120mm,同轴手轮直径为43mm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4.支脚尺寸为92mm×26mm×40mm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演示面板和数字旋转盘表面丝网印刷，字迹清晰、端正、比例协调；仪器在固定好支脚后能平稳放置；转动数字旋转盘的手轮，力感良好，定位准确，确保旋转盘上0-10数码能被定位在演示面板数字窗口的中心，且不需要的数码不能露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6.性能：可以进行10与10以内的加减口算练习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分数片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产品材料选用厚度不小于0.1mm、透明性好的塑料片，透明性好，表面无划痕、无褶皱；产品直径63mm的圆形片，共12片，其上用丝网印刷1/1-1/12共12种圆等分；等分线宽不小于0.5mm，要求色泽纯正，鲜艳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计数彩条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产品由三种颜色塑料片制成，彩片尺寸为：80mmx10mm,每种颜色各10根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塑料量杯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该产品又带刻度的透明塑料制成，外形为圆柱形，带有手柄和壶口，有足够的强度，不易变形，产品结构合理，工艺性好！产品尺寸：外径①120mm，高220mm，最小分度值80ml,容量为：2000ml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塑料量杯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该产品又带刻度的透明塑料制成，外形为正六棱柱体，带有手柄和壶口，有足够的强度，不易变形，产品结构合理，工艺性好！产品尺寸：外接圆直径为115mm,高230mm,最小分度值40mL.最小分度值80ml,最大容量为：1400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塑料量杯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外观；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1．结构合理，工艺性好</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2．以塑料为主体材料的产品或部件，应有足够的强度，不易变形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3．本产品为带刻度的透明容器，设计有把手，外形为圆柱体</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4．外径114mm，高142mm ，最小分度值40mL，,最大容量：800mL±10mL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钟表模型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1.演示用，三针，联动，24时表示</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表盘：盘面为圆形，直径为260mm,厚3.7mm；表盘正面均匀分布有60个分钟标记；整点处分钟标记为红色圆点；在整点分钟标记内侧分别标有1-12、13-24数字；数字字体高不小于16mm。盘面色调柔和，分钟标记和数字清晰、完整、醒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3.指针：指针应平直，厚薄均匀，不得因正常使用产生变形和断裂；时、分针转动时不得有松脱和互相碰擦；</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4.联动装置：联动装置保持指针转动灵活、平稳、松紧度适当；联动装置不得有跳动、卡死和松脱现象；联动装置应保证时针旋转两周后分针示值误差不大于±1min</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5.底座为塑料制品，颜色跟盘面有明显区分，尺寸为243*55*98mm,产品整件采用无毒环保优质塑料制作,总尺寸为260*55*300mm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钟表模型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1.学生用，两针，非联动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2.组成：产品由钟面、时针和分针组成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3.联动装置：保证指针转动灵活、平稳、松紧适当、不得有跳动、卡死或松脱现象，保证指针能停止在任一时间位置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4.尺寸：钟面直径：80mm，厚度：14mm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钟表模型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1.学生用、三针、联动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2.组成：产品由钟面、时针和分针组成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3.联动装置：保证指针转动灵活、平稳、松紧适当、不得有跳动、卡死或松脱现象，保证指针能停止在任一时间位置</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4.尺寸：钟面直径：80mm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几何形体模型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该模型用塑料压制成型，由长方体、正方体、空心圆柱体、圆柱体、圆锥体、及球体组成。其中长方体包括一般和特殊各一个，圆锥体共三个，可进行等低等高、等低不等高、等高不等低的比较。具体规格：正方体尺寸为30mm*30mm*30mm；长方体尺寸为60mm*30mm*10mm；空心圆柱体尺寸为φ60mm,高60mm,圆柱体直径;30mm.高：60mm. 圆锥体1:φ60mm,高：60mm,圆锥体2：φ30mm,高30mm,圆锥体3：φ30 mm, 高：40mm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几何形体表面积展开模型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产品由长方体、正方体、圆柱体各1只，经及所供裁剪、折叠的硬纸片组成。2、将相应纸片沿外框实线剪下，再沿虚线折叠能够组成相应的几何体，展开后就是该几何形体的表面积。3、三种形状的几何形体异彩分为三种颜色，要求颜色鲜艳，表面无变形，周边无毛刺，无缩痕。长方体尺寸：40mmx20mmx15mm，正方体尺寸：30mmx30mmx30mm，圆柱体直径30mm，高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180mm.不锈钢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刻刀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 木柄雕刻刀，手持式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数字、运算符号贴片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演示用，磁贴；数字 0～9、加号、减号、乘号、除号、大于号、小于号、等号、大于等于号、小于等于号；裸图：高 10 cm；颜色鲜艳，如：亮红、亮黄等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数字、运算符号贴片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学生用；数字 0～9、加号、减号、乘号、除号、大于号、小于号、等号、大于等于号、小于等于号；裸图：高 5 cm；颜色鲜艳，如：亮红、亮黄等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百数表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演示用；80 cm×80 cm，每行 10 个格，共 10 行；磁贴，可写可擦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大数进位模型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1个千位正方体、10个百位正方块，10个十位长方条，80个正方颗粒；以塑料盒包装，便于收纳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圆形分数模型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演示用；采用直径≥22 cm、厚度≥0.8 mm 的软磁板；包含15片未裁切的圆（以不同颜色标示 1～1/20 等分数），15片裁切的圆（依1～1/20 等分进行），2片圆形白软磁板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立体分数模型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由球体、正方体等几何形体，四分之一球体、八分之一球体、四分之一正方体、八分之一正方体等组成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点子图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演示用：磁贴，60 mm×80 mm，每行14个点子，12行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沙漏组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包含30秒、1分钟、3分钟、5分钟、10分钟和15分钟的沙漏各1个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套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数字天平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包含配有20个法码和1个天平座；能呈现等于、大于、小于的关系式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套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杠杆平衡器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学生用；包含杠杆尺、支架及勾码1盒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套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七巧板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演示用；磁吸式，七种颜色，所组成的正方形≥400mm×400mm，厚≥4mm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百鸟蛋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由 9 块不同形状模块组成蛋形，尺寸≥135 mm×110 mm×5 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长正方体框架模型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直径为 2 mm 的红、黄、蓝小棒各 16 根；红色小棒长140 mm，黄色小棒长 80 mm，蓝色小棒长 40 mm；白色三通接口 20 个；透明收纳盒，用于收纳上述物品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条形拼搭条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拼搭条的宽度为 8 mm，长度和颜色分别为 30 mm（红色），40 mm（黄色），40 mm（蓝色），80 mm（紫色），80 mm（绿色），120 mm（橙色），各 12 条；拼搭条两端分别为公母扣，便于相互拼搭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8面空间连接模型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包括 4 个红杆、64 个透明杆、40 个正方颗粒、12 个六通造形连接器、12 个八通造形连接器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立方厘米、立方分米模型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 mm×80 mm×80 mm 透明正方体容器 1 个，侧面显示刻度线，内含四种规格立方体，规格数量如下：80 mm×80 mm×80 mm 白色长方体 1 个（表面有 1 平方厘米的格子线）80 mm×80 mm×10 mm 黄色长方体 1 个（表面有 1 平方厘米的格子线），80 mm×10 mm×10 mm黄色长方体 1 个（表面有 1 平方厘米的格子线），10 mm×10 mm×10 mm 红色小正方体 1 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旋转模型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手工旋转装置：产生球的旋转模型，产生圆锥的旋转模型，产生圆柱的旋转模型，产生圆台的旋转模型（可选），产生双曲面的旋转模型（可选），产生抛物面的旋转模型（可选），产生椭球的旋转模型（可选）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活动日历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演示用；边长 10 cm 的正方体 4 块；可写可擦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活动日历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学生用；边长 5 cm 的正方体 4 块；可写可擦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彩色双面双色纸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 xml:space="preserve">A4，1 包 80 张；与黑板和白板反差大的彩色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4"/>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表面涂色的正方体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正方体 3 cm×3 cm×3 cm，64 个；其中三面涂红色的 8个，两面涂红色的 24 个，一面涂红色 24 个，六面均不涂红色的 8 个，不涂红色的面均涂白色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34"/>
              </w:numPr>
              <w:ind w:left="425" w:leftChars="0" w:hanging="425" w:firstLineChars="0"/>
              <w:jc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学生显微镜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#显微镜：500x单目直筒，弯臂支架可45°调节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放大倍率40-500x；</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调焦机构粗微调不同轴，粗调50mm，微调2mm；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转换器为三孔外倾转换器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物镜消色差物镜，4x.10x.40x</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#目镜：H10x、H12.5x</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34"/>
              </w:numPr>
              <w:ind w:left="425" w:leftChars="0" w:hanging="425" w:firstLineChars="0"/>
              <w:jc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教师显微镜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#显微镜：1000x单目直筒，弯臂支架可45°调节</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放大倍率40-500x；</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调焦机构粗微调不同轴，粗调50mm，微调2mm；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转换器为三孔外倾转换器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物镜消色差物镜，4x.10x.40x</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#目镜：H10x、H12.5x、50x</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10、舞蹈教室</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收纳柜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#1.996*440*440mm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2.优质面板EO级16mmMFC板， 含水率在6%-8%,不变形，不翘曲；整体板面正负误差在0.5mm以内,胶合率好,“密度为0.85K/cm3.甲醛释放量≤0.5mg/L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#1.1600*440*1600mm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2.优质面板16mm厚EO级MFC板， 含水率在6%-8%,不变形，不翘曲；整体板面正负误差在0.5mm以内,胶合率好,“密度为0.85K/cm3.甲醛释放量≤0.5mg/L，门板一角缺三角形为扣拉手，DTC铰链，标配5厘背板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更衣凳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长140*宽35*高45cm，软包单层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舞蹈垫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1.长000mm±5mm，宽 1000mm±5mm，厚≥100mm。两侧各有 提手，四周加装粘扣</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2.采用泡沫塑料和泡沫乳胶，帆布或人造革外皮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11、美术器材</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5"/>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写生画箱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材质：优质实木，箱体：470mm×330mm×85mm,支架高度：840mm,特点：便携式、木质箱，箱体分为上箱体和下箱体，可以打开闭合，并可以在0°-120°范围调节，铝合金腿、可伸缩、可折叠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5"/>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绘图工具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直尺、三角板、曲线板、蛇形尺、绘图仪器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5"/>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版画工具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胶辊1件、木蘑托1件、笔刀1件、油石1块、笔刀刀片3个、木刻刀5把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5"/>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绘画工具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8类17件。漆刷.羊尾平笔.小提笔.毛笔.砚台.水盆.调色合.直尺等.塑料成型工具箱.牢固结实不易摔冻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5"/>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制作工具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美工刀1把，剪刀2把，木刻刀12把，尖钻1把，篆刻刀1把，油石1块。泥塑刀5把，螺丝刀2把，多用锯1把，锯条5根，推刨1个，木凿子2把，木锉1把，尖嘴钳1把，电烙铁1个，什锦锉1个，木工锤1把等等45件/套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5"/>
              </w:numPr>
              <w:ind w:left="425" w:leftChars="0" w:hanging="425" w:firstLineChars="0"/>
              <w:jc w:val="center"/>
              <w:textAlignment w:val="center"/>
              <w:rPr>
                <w:rFonts w:ascii="宋体" w:hAnsi="宋体" w:eastAsia="宋体" w:cs="宋体"/>
                <w:sz w:val="20"/>
                <w:szCs w:val="20"/>
                <w:highlight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国画工具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10类13件.笔架、白雲笔、墨、镇尺、砚台、颜料、调色盘、画毯、笔洗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nil"/>
              <w:left w:val="nil"/>
              <w:bottom w:val="nil"/>
              <w:right w:val="nil"/>
            </w:tcBorders>
            <w:shd w:val="clear" w:color="auto" w:fill="auto"/>
            <w:vAlign w:val="center"/>
          </w:tcPr>
          <w:p>
            <w:pPr>
              <w:widowControl/>
              <w:jc w:val="left"/>
              <w:textAlignment w:val="center"/>
              <w:rPr>
                <w:rFonts w:ascii="宋体" w:hAnsi="宋体" w:eastAsia="宋体" w:cs="宋体"/>
                <w:b/>
                <w:bCs/>
                <w:sz w:val="20"/>
                <w:szCs w:val="20"/>
                <w:highlight w:val="none"/>
              </w:rPr>
            </w:pPr>
            <w:r>
              <w:rPr>
                <w:rFonts w:hint="eastAsia" w:ascii="宋体" w:hAnsi="宋体" w:eastAsia="宋体" w:cs="宋体"/>
                <w:b/>
                <w:bCs/>
                <w:kern w:val="0"/>
                <w:sz w:val="20"/>
                <w:szCs w:val="20"/>
                <w:highlight w:val="none"/>
                <w:lang w:bidi="ar"/>
              </w:rPr>
              <w:t>12、体育设施</w:t>
            </w:r>
          </w:p>
        </w:tc>
        <w:tc>
          <w:tcPr>
            <w:tcW w:w="821" w:type="dxa"/>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c>
          <w:tcPr>
            <w:tcW w:w="0" w:type="auto"/>
            <w:tcBorders>
              <w:top w:val="nil"/>
              <w:left w:val="nil"/>
              <w:bottom w:val="nil"/>
              <w:right w:val="nil"/>
            </w:tcBorders>
            <w:shd w:val="clear" w:color="auto" w:fill="auto"/>
            <w:vAlign w:val="center"/>
          </w:tcPr>
          <w:p>
            <w:pPr>
              <w:rPr>
                <w:rFonts w:ascii="宋体" w:hAnsi="宋体" w:eastAsia="宋体" w:cs="宋体"/>
                <w:b/>
                <w:bCs/>
                <w:sz w:val="20"/>
                <w:szCs w:val="20"/>
                <w:highlight w:val="none"/>
              </w:rPr>
            </w:pP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箱长 1200mm~1400mm，箱高</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1250mm，其余符合国家标准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山羊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可升降，全高680mm~1080mm，头长420mm~460mm，头宽280mm±5mm，头高180mm~220mm，立轴升降间距 50mm±3mm，山羊腿外直径不小于 30mm，山羊腿壁厚不小于 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助跳板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木制或其它弹性材料，不小于</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760mm×505mm×175mm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体操凳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 3000mm±10mm，宽 300mm±5mm，高</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300mm~400mm，板面厚度50mm~70mm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大体操垫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小体操垫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1.2*0.6m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体操棒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采用木质或塑料，塑料采用硬质塑料，壁厚不小于 5mm，长1000mm，截面 φ25mm~30mm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短跳绳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绳长度 2600mm~2800mm，φ6mm~7mm，质量60g~80g，柄 (2 个 ) 长度 140mm~170mm，φ26mm~33mm，质量 70g~90g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长跳绳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规格 2：绳长度7000mm~8000mm，φ8mm~9mm，质量30g~300g，柄 (2 个 ) 长度 140mm~170mm，φ26mm~33mm，质量 70g~90g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70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沙包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帆布制作，质量约 200g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实心球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圆周长 350mm~780mm，质量1000g±30g，采用适宜的软性材料，球体表面应进行防滑处理，不应有颗粒脱落、裂缝等缺陷，经过从 10m 高处自由落体试验后，应无破裂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小哑铃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2.3.4.5.6.7.8.9.10.12磅为1套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肋木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宜三柱二间，使用宽度不小于 800mm，最高使用高度2200mm±100mm，横肋间距 250mm，握持φ28mm~32mm，立柱为φ75mm 普通钢管，钢管需做除锈处理，表面静电喷涂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平梯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 4000mm±500mm，有效使用宽度 600mm±100mm，最</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高使用高度不大于 2100mm，悬垂握持 φ28mm~32mm，纵</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向握持间距不大于 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杠铃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跳高架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立柱高度 1600mm~2000mm，高度刻度 500mm~1800mm，横杆托长 60mm，宽 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横杆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 3000mm~4000mm，φ25mm~30mm，质量不超过2000g，采用不宜折断的适宜材料制成，不应采用金属材料，除两端外，横截面应呈圆形，颜色醒目，横杆固定在立柱上，中心自然下垂应小于20mm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呼啦圈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φ800mm，PVC管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钻架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雪糕筒52cm训练专用，PE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垒球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圆周长 195mm±10mm，质量80g±5g，1000mm 高度自由落体落下，回弹高度应不小于300mm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小皮球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橡胶，φ100mm ~φ150mm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投掷靶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铁框架，木靶面，靶面800mm×800mm，中心孔直径为 40mm，孔中心距地面1.1m~1.4m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接力棒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 280mm~300mm，φ30mm~42mm，质量不小于</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铁环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铁环φ500mm，附特制的铁钩，用铁钩推着，铁环可向前滚动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标志杆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高 1.2m~1.6m，立柱φ25mm，三角形红色旗面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标志桶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全塑料制品，高度为150mm~750mm，呈圆锥体状，有配重，放置平稳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栏架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栏板长度 1000mm~1200mm，宽度 50mm~70mm，栏架底座长不大于 700mm，栏架高度550mm~700mm（50mm 一档，据不同年龄阶段而定），栏板倾翻力 10N~15N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篮球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小学用，1~2 年级选用 4 号球，3~6 年级选用 5 号球，球圆周长 645mm~670mm，质量420g~480g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足球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3、4号球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排球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小学用，4 号球，圆周长 600mm~620mm，质量200g~240g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拔河绳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 30m，质量 10kg 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乒乓球台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可折叠带轮，带兵乒球网及支架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乒乓球拍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对拍含三个球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羽毛球拍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球拍材质为优质铝合金，尼龙拍线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乒乓球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10个装一盒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羽毛球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12个装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毽子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彩色羽毛牛筋底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木尺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高2.5m，满刻度精确到厘米，宽40mm，厚10mm，两边倒棱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39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皮尺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50米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秒表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尺寸：8*6*2cm 颜色：黑色</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材质：塑料</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时间、日历显示、定时闹钟，超大屏幕显示，附带指南针功能，容易更换电池（使用G13纽扣电池）</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用于测量时间计时用；分辨率 0.01s，10min，测量精度不大于0.2s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起跑器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长 690mm，宽不小于100mm，三 角体抵脚板，长 160mm，宽 120mm，高130mm，倾斜度可调整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发令枪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1.可同时装 2～5 发子弹。</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2.军用钢发射装置，塑胶手柄，具有一定撞针冲击力，无后坐力设计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口哨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不锈钢哨笛，配件挂绳，声音洪亮、安全、耐用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highlight w:val="none"/>
              </w:rPr>
            </w:pPr>
            <w:r>
              <w:rPr>
                <w:rFonts w:hint="eastAsia" w:ascii="宋体" w:hAnsi="宋体" w:eastAsia="宋体" w:cs="宋体"/>
                <w:kern w:val="0"/>
                <w:sz w:val="18"/>
                <w:szCs w:val="18"/>
                <w:highlight w:val="none"/>
                <w:lang w:bidi="ar"/>
              </w:rPr>
              <w:t>篮球架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highlight w:val="none"/>
              </w:rPr>
            </w:pPr>
            <w:r>
              <w:rPr>
                <w:rFonts w:hint="eastAsia" w:ascii="宋体" w:hAnsi="宋体" w:eastAsia="宋体" w:cs="宋体"/>
                <w:kern w:val="0"/>
                <w:sz w:val="18"/>
                <w:szCs w:val="18"/>
                <w:highlight w:val="none"/>
                <w:lang w:bidi="ar"/>
              </w:rPr>
              <w:t>适合室内风雨操场使用的标准篮球架，符合国家相关标准，并提供样品供校方确认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highlight w:val="none"/>
              </w:rPr>
            </w:pPr>
            <w:r>
              <w:rPr>
                <w:rFonts w:hint="eastAsia" w:ascii="宋体" w:hAnsi="宋体" w:eastAsia="宋体" w:cs="宋体"/>
                <w:kern w:val="0"/>
                <w:sz w:val="18"/>
                <w:szCs w:val="18"/>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highlight w:val="none"/>
              </w:rPr>
            </w:pPr>
            <w:r>
              <w:rPr>
                <w:rFonts w:hint="eastAsia" w:ascii="宋体" w:hAnsi="宋体" w:eastAsia="宋体" w:cs="宋体"/>
                <w:kern w:val="0"/>
                <w:sz w:val="18"/>
                <w:szCs w:val="18"/>
                <w:highlight w:val="none"/>
                <w:lang w:bidi="ar"/>
              </w:rPr>
              <w:t>排球架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排球网柱</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#1.移动配重式，可调，网柱高度：1920mm±5mm，拉网中央高度 1800mm±5mm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2.球网被拉紧时，网柱应稳固地与地面保持垂直，立柱轴线对水平面的垂直公差≤1/500</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3.排球网柱应能承受不低于 600N 的外力，球柱不产生永久变形，无倾倒现象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4.移动式排球网柱的立柱与底座间无拉动摆动现象，在移动时底座轮子灵活，使用时底座轮子不支撑地面</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5.穿网绳能牢固拉紧，并与网柱顶平齐</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6.紧网装置紧线灵活，锁定可靠，无卡滞或自动返松现象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7.球柱高度可调时，其高度调节升降灵活，无卡滞现象</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8.网柱底座和立柱各支撑体表面的所有楞边和尖角，使其半径≥5mm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9.任何结构形式的网柱，其各部位均不侵入场地边线(内)的垂直线内</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10.其余符合 GB/T 19851.13标准要求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highlight w:val="none"/>
              </w:rPr>
            </w:pPr>
            <w:r>
              <w:rPr>
                <w:rFonts w:hint="eastAsia" w:ascii="宋体" w:hAnsi="宋体" w:eastAsia="宋体" w:cs="宋体"/>
                <w:kern w:val="0"/>
                <w:sz w:val="18"/>
                <w:szCs w:val="18"/>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排球网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排球网长度9500mm~10000mm，宽度700mm±25mm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排球场垫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适合室内篮球场木地板使用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海绵包（跳高垫）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#1.长 3000mm，宽 2000mm，厚≥300mm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2.外层采用精细帆布，防滑、耐磨</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3.内胆采用高密度聚氨酯发泡材料，软海绵密度≥28#，内置海绵一次成型，无接缝、无异味，环保</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4.表面平整无皱折，当载荷落至跳垫时，垫里外层不会发生相对位移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羽毛球架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abs 60公斤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羽毛球网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羽毛球网长度不小于6100mm，宽度 500mm±25mm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羽毛球场垫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适合室内篮球场木地板使用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身高测量仪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1.身高：量程：90～210cm，分度值 0.1cm，允差：±0.2cm</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2.其余符合 GB/T 19851.12标准要求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体重秤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1.体重：量程：5.0～150kg，分度值 0.1kg，允差：±0.1kg(≤100kg)±0.15kg(＞100kg)</w:t>
            </w:r>
            <w:r>
              <w:rPr>
                <w:rFonts w:hint="eastAsia" w:ascii="宋体" w:hAnsi="宋体" w:eastAsia="宋体" w:cs="宋体"/>
                <w:kern w:val="0"/>
                <w:sz w:val="20"/>
                <w:szCs w:val="20"/>
                <w:highlight w:val="none"/>
                <w:lang w:bidi="ar"/>
              </w:rPr>
              <w:br w:type="textWrapping"/>
            </w:r>
            <w:r>
              <w:rPr>
                <w:rFonts w:hint="eastAsia" w:ascii="宋体" w:hAnsi="宋体" w:eastAsia="宋体" w:cs="宋体"/>
                <w:kern w:val="0"/>
                <w:sz w:val="20"/>
                <w:szCs w:val="20"/>
                <w:highlight w:val="none"/>
                <w:lang w:bidi="ar"/>
              </w:rPr>
              <w:t>2.其余符合 GB/T 19851.12标准要求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电子肺活量计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量程 100mL~9999mL，分度值1mL，允差 ±2.5%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体前屈测量计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量程：-20～35cm，分度值 0.1cm，允差：±0.2cm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握力器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可调节计数握力器，力度5-60KG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器材架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中型加厚260KG/层；参考尺寸150*60*180cm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球车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推车外形基本尺寸不小于 580mm×580mm×940mm。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59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滑轮套装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包括鞋及撑杆、护膝、护肘、头盔（越野滑雪类型）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轮滑套装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包括鞋、护膝、护肘、头盔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160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陆地冰壶套装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#冰壶赛道长13米，宽2米，厚度2.2毫米，重量约60Kg。材质:pvC发泡体、PvC密实体，增强剂。冰壶尺寸:总高105mm，壶体高36mm，直径200mm，重量1.2kg。每条道应配16只壶。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8</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小足球门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五人制2*3米（90管），可移动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守门员手套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小学生门将足球手套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10</w:t>
            </w:r>
          </w:p>
        </w:tc>
      </w:tr>
      <w:tr>
        <w:tblPrEx>
          <w:tblCellMar>
            <w:top w:w="0" w:type="dxa"/>
            <w:left w:w="108" w:type="dxa"/>
            <w:bottom w:w="0" w:type="dxa"/>
            <w:right w:w="108" w:type="dxa"/>
          </w:tblCellMar>
        </w:tblPrEx>
        <w:trPr>
          <w:trHeight w:val="567"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号坎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小学生号坎，按要求提供印刷号码及颜色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highlight w:val="none"/>
              </w:rPr>
            </w:pPr>
            <w:r>
              <w:rPr>
                <w:rFonts w:hint="eastAsia" w:ascii="宋体" w:hAnsi="宋体" w:eastAsia="宋体" w:cs="宋体"/>
                <w:kern w:val="0"/>
                <w:sz w:val="20"/>
                <w:szCs w:val="20"/>
                <w:highlight w:val="none"/>
                <w:lang w:bidi="ar"/>
              </w:rPr>
              <w:t>60</w:t>
            </w:r>
          </w:p>
        </w:tc>
      </w:tr>
    </w:tbl>
    <w:p>
      <w:pPr>
        <w:spacing w:line="360" w:lineRule="auto"/>
        <w:ind w:left="1440" w:leftChars="225" w:hanging="720" w:hangingChars="300"/>
        <w:rPr>
          <w:rFonts w:ascii="宋体" w:hAnsi="宋体" w:cs="宋体"/>
          <w:sz w:val="24"/>
          <w:highlight w:val="none"/>
        </w:rPr>
      </w:pPr>
    </w:p>
    <w:p>
      <w:pPr>
        <w:spacing w:line="360" w:lineRule="auto"/>
        <w:ind w:left="1440" w:leftChars="225" w:hanging="720" w:hangingChars="300"/>
        <w:rPr>
          <w:rFonts w:ascii="宋体" w:hAnsi="宋体" w:cs="宋体"/>
          <w:sz w:val="24"/>
          <w:highlight w:val="none"/>
        </w:rPr>
      </w:pPr>
      <w:r>
        <w:rPr>
          <w:rFonts w:hint="eastAsia" w:ascii="宋体" w:hAnsi="宋体" w:cs="宋体"/>
          <w:sz w:val="24"/>
          <w:highlight w:val="none"/>
        </w:rPr>
        <w:t>002包：</w:t>
      </w:r>
      <w:r>
        <w:rPr>
          <w:rFonts w:hint="eastAsia" w:ascii="宋体" w:hAnsi="宋体" w:eastAsia="宋体" w:cs="宋体"/>
          <w:sz w:val="24"/>
          <w:highlight w:val="none"/>
        </w:rPr>
        <w:t>日杂及保安设备</w:t>
      </w:r>
    </w:p>
    <w:p>
      <w:pPr>
        <w:spacing w:line="360" w:lineRule="auto"/>
        <w:ind w:left="1440" w:leftChars="225" w:hanging="720" w:hangingChars="300"/>
        <w:rPr>
          <w:rFonts w:hint="eastAsia" w:ascii="宋体" w:hAnsi="宋体" w:cs="宋体"/>
          <w:sz w:val="24"/>
          <w:highlight w:val="none"/>
        </w:rPr>
      </w:pPr>
      <w:r>
        <w:rPr>
          <w:rFonts w:hint="eastAsia" w:ascii="宋体" w:hAnsi="宋体" w:cs="宋体"/>
          <w:sz w:val="24"/>
          <w:highlight w:val="none"/>
        </w:rPr>
        <w:t>第一部分：幼儿园日杂及保安设备（数量为金源幼儿园、华望城幼儿园、金湖未来城幼儿园、招商幼儿园、中冶幼儿园所需数量的和）</w:t>
      </w:r>
    </w:p>
    <w:tbl>
      <w:tblPr>
        <w:tblStyle w:val="16"/>
        <w:tblW w:w="8472" w:type="dxa"/>
        <w:tblInd w:w="0" w:type="dxa"/>
        <w:tblLayout w:type="fixed"/>
        <w:tblCellMar>
          <w:top w:w="0" w:type="dxa"/>
          <w:left w:w="108" w:type="dxa"/>
          <w:bottom w:w="0" w:type="dxa"/>
          <w:right w:w="108" w:type="dxa"/>
        </w:tblCellMar>
      </w:tblPr>
      <w:tblGrid>
        <w:gridCol w:w="567"/>
        <w:gridCol w:w="1242"/>
        <w:gridCol w:w="5245"/>
        <w:gridCol w:w="709"/>
        <w:gridCol w:w="709"/>
      </w:tblGrid>
      <w:tr>
        <w:tblPrEx>
          <w:tblCellMar>
            <w:top w:w="0" w:type="dxa"/>
            <w:left w:w="108" w:type="dxa"/>
            <w:bottom w:w="0" w:type="dxa"/>
            <w:right w:w="108" w:type="dxa"/>
          </w:tblCellMar>
        </w:tblPrEx>
        <w:trPr>
          <w:trHeight w:val="567" w:hRule="atLeast"/>
        </w:trPr>
        <w:tc>
          <w:tcPr>
            <w:tcW w:w="847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color w:val="000000"/>
                <w:kern w:val="0"/>
                <w:sz w:val="22"/>
                <w:szCs w:val="22"/>
                <w:highlight w:val="none"/>
                <w:lang w:bidi="ar"/>
              </w:rPr>
              <w:t>幼儿园日杂用品</w:t>
            </w:r>
          </w:p>
        </w:tc>
      </w:tr>
      <w:tr>
        <w:tblPrEx>
          <w:tblCellMar>
            <w:top w:w="0" w:type="dxa"/>
            <w:left w:w="108" w:type="dxa"/>
            <w:bottom w:w="0" w:type="dxa"/>
            <w:right w:w="108" w:type="dxa"/>
          </w:tblCellMar>
        </w:tblPrEx>
        <w:trPr>
          <w:trHeight w:val="567" w:hRule="atLeast"/>
        </w:trPr>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序号</w:t>
            </w:r>
          </w:p>
        </w:tc>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物品名称</w:t>
            </w:r>
          </w:p>
        </w:tc>
        <w:tc>
          <w:tcPr>
            <w:tcW w:w="5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参数</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单位</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数量</w:t>
            </w:r>
          </w:p>
        </w:tc>
      </w:tr>
      <w:tr>
        <w:tblPrEx>
          <w:tblCellMar>
            <w:top w:w="0" w:type="dxa"/>
            <w:left w:w="108" w:type="dxa"/>
            <w:bottom w:w="0" w:type="dxa"/>
            <w:right w:w="108" w:type="dxa"/>
          </w:tblCellMar>
        </w:tblPrEx>
        <w:trPr>
          <w:trHeight w:val="567" w:hRule="atLeast"/>
        </w:trPr>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国旗</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00"/>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#1.尺寸：4800px × 3200px（3号国旗192*128cm）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2.材质：春亚纺布料，工艺：数码喷绘</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3.特点：防水防掉色</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4.包含304不锈钢短杆，与旗杆配套使用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面</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储藏室货架</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1.材质：钢材、不易生锈</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2.高度：1.8-2.0m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#4.层数：5层</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5.高度可调节</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#6.长度：总长不少于25m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7.总承重：5000KG</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8.含供货、辅材及安装</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9.符合相关质量标准</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小方巾</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1.白色纯棉25*25CM，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2.不易掉毛，快速吸水，透气快干</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3.无污染，面料对儿童无毒性</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4.含供货（每人2条）</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条</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3000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粘钩</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1.承重1kg，无痕</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2.特点：防水防潮、无痕不伤墙面</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3.粘连式粘钩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4.含供货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200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窗帘及窗帘轨道或滑杆</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#1.一层布</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2.全遮光（90%以上）、防晒、防虫</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3.原料成分: 涤纶</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4.特点：易清洗</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5.窗帘轨道：单轨铝合金罗马杆或双轨滑道，顺滑静音，杆身承重强，不易褪色，壁厚不少于2.2mm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6.含测量、供货、各种辅材辅料（包括但不限于消音环、不锈钢套环、五金件、花边、帘头、捆带等）及安装</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7.工艺：高精密提花、不缩水、不起球、阻燃</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8.褶皱：1.7倍</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9.不含甲醛</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#10.布克重：不低于350g/m2</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11.色彩鲜艳，适合幼儿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4400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6</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木制展架</w:t>
            </w:r>
            <w:r>
              <w:rPr>
                <w:rFonts w:ascii="宋体" w:hAnsi="宋体" w:eastAsia="宋体" w:cs="宋体"/>
                <w:kern w:val="0"/>
                <w:sz w:val="20"/>
                <w:szCs w:val="20"/>
                <w:highlight w:val="none"/>
                <w:lang w:bidi="ar"/>
              </w:rPr>
              <w:drawing>
                <wp:inline distT="0" distB="0" distL="114300" distR="114300">
                  <wp:extent cx="857885" cy="1144270"/>
                  <wp:effectExtent l="0" t="0" r="10795" b="13970"/>
                  <wp:docPr id="24" name="图片 24" descr="35ab8b6f156244b909a0d9e4e907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5ab8b6f156244b909a0d9e4e907e27"/>
                          <pic:cNvPicPr>
                            <a:picLocks noChangeAspect="1"/>
                          </pic:cNvPicPr>
                        </pic:nvPicPr>
                        <pic:blipFill>
                          <a:blip r:embed="rId14"/>
                          <a:stretch>
                            <a:fillRect/>
                          </a:stretch>
                        </pic:blipFill>
                        <pic:spPr>
                          <a:xfrm>
                            <a:off x="0" y="0"/>
                            <a:ext cx="857885" cy="1144270"/>
                          </a:xfrm>
                          <a:prstGeom prst="rect">
                            <a:avLst/>
                          </a:prstGeom>
                        </pic:spPr>
                      </pic:pic>
                    </a:graphicData>
                  </a:graphic>
                </wp:inline>
              </w:drawing>
            </w:r>
          </w:p>
          <w:p>
            <w:pPr>
              <w:pStyle w:val="8"/>
              <w:rPr>
                <w:highlight w:val="none"/>
                <w:lang w:bidi="ar"/>
              </w:rPr>
            </w:pP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1.5cm高，可放置60cm-110cm高度的展板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60</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小黑板</w:t>
            </w:r>
            <w:r>
              <w:rPr>
                <w:highlight w:val="none"/>
              </w:rPr>
              <w:drawing>
                <wp:inline distT="0" distB="0" distL="114300" distR="114300">
                  <wp:extent cx="962025" cy="721360"/>
                  <wp:effectExtent l="0" t="0" r="13335" b="10160"/>
                  <wp:docPr id="25" name="图片 25" descr="8898cdf12c0502b7ca9e45197958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898cdf12c0502b7ca9e45197958a84"/>
                          <pic:cNvPicPr>
                            <a:picLocks noChangeAspect="1"/>
                          </pic:cNvPicPr>
                        </pic:nvPicPr>
                        <pic:blipFill>
                          <a:blip r:embed="rId15"/>
                          <a:stretch>
                            <a:fillRect/>
                          </a:stretch>
                        </pic:blipFill>
                        <pic:spPr>
                          <a:xfrm>
                            <a:off x="0" y="0"/>
                            <a:ext cx="962025" cy="721360"/>
                          </a:xfrm>
                          <a:prstGeom prst="rect">
                            <a:avLst/>
                          </a:prstGeom>
                        </pic:spPr>
                      </pic:pic>
                    </a:graphicData>
                  </a:graphic>
                </wp:inline>
              </w:drawing>
            </w:r>
          </w:p>
          <w:p>
            <w:pPr>
              <w:pStyle w:val="8"/>
              <w:rPr>
                <w:highlight w:val="none"/>
                <w:lang w:bidi="ar"/>
              </w:rPr>
            </w:pP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6"/>
              </w:numPr>
              <w:jc w:val="left"/>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宽度85cm，高度110-150cm可调节</w:t>
            </w:r>
          </w:p>
          <w:p>
            <w:pPr>
              <w:widowControl/>
              <w:jc w:val="left"/>
              <w:textAlignment w:val="center"/>
              <w:rPr>
                <w:rFonts w:ascii="宋体" w:hAnsi="宋体" w:eastAsia="宋体" w:cs="宋体"/>
                <w:color w:val="000000"/>
                <w:kern w:val="0"/>
                <w:sz w:val="20"/>
                <w:szCs w:val="20"/>
                <w:highlight w:val="none"/>
                <w:lang w:bidi="ar"/>
              </w:rPr>
            </w:pPr>
            <w:r>
              <w:rPr>
                <w:rFonts w:hint="eastAsia" w:hAnsi="宋体" w:eastAsia="宋体" w:cs="宋体"/>
                <w:kern w:val="0"/>
                <w:sz w:val="20"/>
                <w:szCs w:val="20"/>
                <w:highlight w:val="none"/>
                <w:lang w:bidi="ar"/>
              </w:rPr>
              <w:t>2.一面黑板一面白板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60</w:t>
            </w:r>
          </w:p>
        </w:tc>
      </w:tr>
      <w:tr>
        <w:tblPrEx>
          <w:tblCellMar>
            <w:top w:w="0" w:type="dxa"/>
            <w:left w:w="108" w:type="dxa"/>
            <w:bottom w:w="0" w:type="dxa"/>
            <w:right w:w="108" w:type="dxa"/>
          </w:tblCellMar>
        </w:tblPrEx>
        <w:trPr>
          <w:trHeight w:val="567" w:hRule="atLeast"/>
        </w:trPr>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highlight w:val="none"/>
              </w:rPr>
            </w:pPr>
            <w:r>
              <w:rPr>
                <w:rFonts w:ascii="宋体" w:hAnsi="宋体" w:eastAsia="宋体" w:cs="宋体"/>
                <w:color w:val="000000"/>
                <w:kern w:val="0"/>
                <w:sz w:val="20"/>
                <w:szCs w:val="20"/>
                <w:highlight w:val="none"/>
                <w:lang w:bidi="ar"/>
              </w:rPr>
              <w:t>8</w:t>
            </w:r>
          </w:p>
        </w:tc>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
              <w:rPr>
                <w:highlight w:val="none"/>
                <w:lang w:bidi="ar"/>
              </w:rPr>
            </w:pPr>
          </w:p>
          <w:p>
            <w:pPr>
              <w:widowControl/>
              <w:jc w:val="center"/>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库房货架</w:t>
            </w:r>
          </w:p>
          <w:p>
            <w:pPr>
              <w:pStyle w:val="8"/>
              <w:rPr>
                <w:highlight w:val="none"/>
                <w:lang w:bidi="ar"/>
              </w:rPr>
            </w:pPr>
            <w:r>
              <w:rPr>
                <w:highlight w:val="none"/>
                <w:lang w:bidi="ar"/>
              </w:rPr>
              <w:drawing>
                <wp:inline distT="0" distB="0" distL="114300" distR="114300">
                  <wp:extent cx="734060" cy="761365"/>
                  <wp:effectExtent l="0" t="0" r="12700" b="635"/>
                  <wp:docPr id="26" name="图片 26" descr="88590db9d3a52481b93e47e1e341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8590db9d3a52481b93e47e1e3416f0"/>
                          <pic:cNvPicPr>
                            <a:picLocks noChangeAspect="1"/>
                          </pic:cNvPicPr>
                        </pic:nvPicPr>
                        <pic:blipFill>
                          <a:blip r:embed="rId16"/>
                          <a:stretch>
                            <a:fillRect/>
                          </a:stretch>
                        </pic:blipFill>
                        <pic:spPr>
                          <a:xfrm>
                            <a:off x="0" y="0"/>
                            <a:ext cx="734060" cy="761365"/>
                          </a:xfrm>
                          <a:prstGeom prst="rect">
                            <a:avLst/>
                          </a:prstGeom>
                        </pic:spPr>
                      </pic:pic>
                    </a:graphicData>
                  </a:graphic>
                </wp:inline>
              </w:drawing>
            </w:r>
          </w:p>
          <w:p>
            <w:pPr>
              <w:pStyle w:val="9"/>
              <w:ind w:left="5120"/>
              <w:rPr>
                <w:highlight w:val="none"/>
              </w:rPr>
            </w:pPr>
          </w:p>
          <w:p>
            <w:pPr>
              <w:pStyle w:val="9"/>
              <w:ind w:left="5120"/>
              <w:rPr>
                <w:highlight w:val="none"/>
              </w:rPr>
            </w:pPr>
          </w:p>
          <w:p>
            <w:pPr>
              <w:pStyle w:val="9"/>
              <w:ind w:left="5120"/>
              <w:rPr>
                <w:rFonts w:ascii="宋体" w:hAnsi="宋体" w:eastAsia="宋体" w:cs="宋体"/>
                <w:color w:val="000000"/>
                <w:kern w:val="0"/>
                <w:sz w:val="20"/>
                <w:szCs w:val="20"/>
                <w:highlight w:val="none"/>
                <w:lang w:bidi="ar"/>
              </w:rPr>
            </w:pP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255"/>
                <w:numId w:val="0"/>
              </w:numPr>
              <w:jc w:val="left"/>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规格：长2m高2米宽0.5m四层货架，每层高度可调节</w:t>
            </w:r>
          </w:p>
          <w:p>
            <w:pPr>
              <w:widowControl/>
              <w:numPr>
                <w:ilvl w:val="255"/>
                <w:numId w:val="0"/>
              </w:numPr>
              <w:jc w:val="left"/>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材质：钢制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20</w:t>
            </w:r>
          </w:p>
        </w:tc>
      </w:tr>
      <w:tr>
        <w:tblPrEx>
          <w:tblCellMar>
            <w:top w:w="0" w:type="dxa"/>
            <w:left w:w="108" w:type="dxa"/>
            <w:bottom w:w="0" w:type="dxa"/>
            <w:right w:w="108" w:type="dxa"/>
          </w:tblCellMar>
        </w:tblPrEx>
        <w:trPr>
          <w:trHeight w:val="567" w:hRule="atLeast"/>
        </w:trPr>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eastAsia="宋体" w:cs="宋体"/>
                <w:color w:val="000000"/>
                <w:kern w:val="0"/>
                <w:sz w:val="20"/>
                <w:szCs w:val="20"/>
                <w:highlight w:val="none"/>
                <w:lang w:bidi="ar"/>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ind w:left="5120"/>
              <w:rPr>
                <w:rFonts w:ascii="宋体" w:hAnsi="宋体" w:eastAsia="宋体" w:cs="宋体"/>
                <w:color w:val="000000"/>
                <w:kern w:val="0"/>
                <w:sz w:val="20"/>
                <w:szCs w:val="20"/>
                <w:highlight w:val="none"/>
                <w:lang w:bidi="ar"/>
              </w:rPr>
            </w:pP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255"/>
                <w:numId w:val="0"/>
              </w:numPr>
              <w:jc w:val="left"/>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规格：长2m高2米宽0.5m五层货架，每层高度可调节</w:t>
            </w:r>
          </w:p>
          <w:p>
            <w:pPr>
              <w:widowControl/>
              <w:numPr>
                <w:ilvl w:val="255"/>
                <w:numId w:val="0"/>
              </w:numPr>
              <w:jc w:val="left"/>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材质：钢制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40</w:t>
            </w:r>
          </w:p>
        </w:tc>
      </w:tr>
      <w:tr>
        <w:tblPrEx>
          <w:tblCellMar>
            <w:top w:w="0" w:type="dxa"/>
            <w:left w:w="108" w:type="dxa"/>
            <w:bottom w:w="0" w:type="dxa"/>
            <w:right w:w="108" w:type="dxa"/>
          </w:tblCellMar>
        </w:tblPrEx>
        <w:trPr>
          <w:trHeight w:val="567" w:hRule="atLeast"/>
        </w:trPr>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eastAsia="宋体" w:cs="宋体"/>
                <w:color w:val="000000"/>
                <w:kern w:val="0"/>
                <w:sz w:val="20"/>
                <w:szCs w:val="20"/>
                <w:highlight w:val="none"/>
                <w:lang w:bidi="ar"/>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ind w:left="5120"/>
              <w:rPr>
                <w:rFonts w:ascii="宋体" w:hAnsi="宋体" w:eastAsia="宋体" w:cs="宋体"/>
                <w:color w:val="000000"/>
                <w:kern w:val="0"/>
                <w:sz w:val="20"/>
                <w:szCs w:val="20"/>
                <w:highlight w:val="none"/>
                <w:lang w:bidi="ar"/>
              </w:rPr>
            </w:pP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255"/>
                <w:numId w:val="0"/>
              </w:numPr>
              <w:jc w:val="left"/>
              <w:textAlignment w:val="center"/>
              <w:rPr>
                <w:rFonts w:ascii="宋体" w:hAnsi="宋体" w:eastAsia="宋体" w:cs="宋体"/>
                <w:kern w:val="0"/>
                <w:sz w:val="20"/>
                <w:szCs w:val="20"/>
                <w:highlight w:val="none"/>
                <w:lang w:bidi="ar"/>
              </w:rPr>
            </w:pPr>
            <w:r>
              <w:rPr>
                <w:rFonts w:hint="eastAsia" w:ascii="宋体" w:hAnsi="宋体" w:eastAsia="宋体" w:cs="宋体"/>
                <w:kern w:val="0"/>
                <w:sz w:val="20"/>
                <w:szCs w:val="20"/>
                <w:highlight w:val="none"/>
                <w:lang w:bidi="ar"/>
              </w:rPr>
              <w:t>规格：长1.5m高2m宽0.5m四层货架，每层高度可调节</w:t>
            </w:r>
          </w:p>
          <w:p>
            <w:pPr>
              <w:widowControl/>
              <w:numPr>
                <w:ilvl w:val="255"/>
                <w:numId w:val="0"/>
              </w:numPr>
              <w:jc w:val="left"/>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材质：钢制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highlight w:val="none"/>
                <w:lang w:bidi="ar"/>
              </w:rPr>
            </w:pPr>
            <w:r>
              <w:rPr>
                <w:rFonts w:hint="eastAsia" w:ascii="宋体" w:hAnsi="宋体" w:eastAsia="宋体" w:cs="宋体"/>
                <w:kern w:val="0"/>
                <w:sz w:val="20"/>
                <w:szCs w:val="20"/>
                <w:highlight w:val="none"/>
                <w:lang w:bidi="ar"/>
              </w:rPr>
              <w:t>5</w:t>
            </w:r>
          </w:p>
        </w:tc>
      </w:tr>
      <w:tr>
        <w:tblPrEx>
          <w:tblCellMar>
            <w:top w:w="0" w:type="dxa"/>
            <w:left w:w="108" w:type="dxa"/>
            <w:bottom w:w="0" w:type="dxa"/>
            <w:right w:w="108" w:type="dxa"/>
          </w:tblCellMar>
        </w:tblPrEx>
        <w:trPr>
          <w:trHeight w:val="567" w:hRule="atLeast"/>
        </w:trPr>
        <w:tc>
          <w:tcPr>
            <w:tcW w:w="847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color w:val="000000"/>
                <w:kern w:val="0"/>
                <w:sz w:val="22"/>
                <w:szCs w:val="22"/>
                <w:highlight w:val="none"/>
                <w:lang w:bidi="ar"/>
              </w:rPr>
              <w:t>幼儿园保安用品</w:t>
            </w:r>
          </w:p>
        </w:tc>
      </w:tr>
      <w:tr>
        <w:tblPrEx>
          <w:tblCellMar>
            <w:top w:w="0" w:type="dxa"/>
            <w:left w:w="108" w:type="dxa"/>
            <w:bottom w:w="0" w:type="dxa"/>
            <w:right w:w="108" w:type="dxa"/>
          </w:tblCellMar>
        </w:tblPrEx>
        <w:trPr>
          <w:trHeight w:val="567" w:hRule="atLeast"/>
        </w:trPr>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序号</w:t>
            </w:r>
          </w:p>
        </w:tc>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物品名称</w:t>
            </w:r>
          </w:p>
        </w:tc>
        <w:tc>
          <w:tcPr>
            <w:tcW w:w="5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参数</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单位</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数量</w:t>
            </w:r>
          </w:p>
        </w:tc>
      </w:tr>
      <w:tr>
        <w:tblPrEx>
          <w:tblCellMar>
            <w:top w:w="0" w:type="dxa"/>
            <w:left w:w="108" w:type="dxa"/>
            <w:bottom w:w="0" w:type="dxa"/>
            <w:right w:w="108" w:type="dxa"/>
          </w:tblCellMar>
        </w:tblPrEx>
        <w:trPr>
          <w:trHeight w:val="567" w:hRule="atLeast"/>
        </w:trPr>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highlight w:val="none"/>
              </w:rPr>
            </w:pP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钢叉</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伸缩钢叉，不锈钢管，未拉伸1米，拉伸2米，上管直径28cm、下管直径35cm、半圆直径48cm，手柄ABS塑料</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强光手电</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锂电可充电电池，三挡灯光，射程150-500m，抗摔，防身，砸窗等自救功能</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防刺服、背心</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钢制防护内胆，前后两片高猛钢板，金属铆钉结构；防护等级24焦耳能动，不露刀尖；防护面积0.3㎡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防割手套</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防割等级5级，耐磨，抗撕拉，包覆钢丝及高性能聚Z烯纤维</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副</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防护盾牌</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防爆盾牌，3.0mm厚，抗冲击耐腐蚀，尺寸90*50cm，透光率≥70%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副</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橡胶警棍</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防爆PC棍，螺纹硬质，长度50cm，内置弹簧钢</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辣椒喷雾器</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60ML，只防护不伤人催泪喷雾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罐</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30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保安哨笛</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不锈钢哨笛，配件挂绳，声音洪亮、安全、耐用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钢盔</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PC工程塑料，均码可调节，抗冲击力强，坚固耐用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15 </w:t>
            </w:r>
          </w:p>
        </w:tc>
      </w:tr>
      <w:tr>
        <w:tblPrEx>
          <w:tblCellMar>
            <w:top w:w="0" w:type="dxa"/>
            <w:left w:w="108" w:type="dxa"/>
            <w:bottom w:w="0" w:type="dxa"/>
            <w:right w:w="108"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10</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对讲机</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功率3W，通话距离1-3公里，直充+座充，坚固抗摔防串台，频率：400-470MHZ</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30 </w:t>
            </w:r>
          </w:p>
        </w:tc>
      </w:tr>
    </w:tbl>
    <w:p>
      <w:pPr>
        <w:pStyle w:val="21"/>
        <w:spacing w:line="360" w:lineRule="auto"/>
        <w:ind w:firstLine="500" w:firstLineChars="200"/>
        <w:rPr>
          <w:highlight w:val="none"/>
        </w:rPr>
      </w:pPr>
    </w:p>
    <w:p>
      <w:pPr>
        <w:spacing w:line="360" w:lineRule="auto"/>
        <w:ind w:left="1440" w:leftChars="225" w:hanging="720" w:hangingChars="300"/>
        <w:rPr>
          <w:rFonts w:ascii="宋体" w:hAnsi="宋体" w:cs="宋体"/>
          <w:sz w:val="24"/>
          <w:highlight w:val="none"/>
        </w:rPr>
      </w:pPr>
      <w:r>
        <w:rPr>
          <w:rFonts w:hint="eastAsia" w:ascii="宋体" w:hAnsi="宋体" w:cs="宋体"/>
          <w:sz w:val="24"/>
          <w:highlight w:val="none"/>
        </w:rPr>
        <w:t>第二部分：小学日杂及保安设备（数量为华望城小学、创新坊小学所需数量的和）</w:t>
      </w:r>
    </w:p>
    <w:tbl>
      <w:tblPr>
        <w:tblStyle w:val="16"/>
        <w:tblW w:w="0" w:type="auto"/>
        <w:tblInd w:w="98" w:type="dxa"/>
        <w:tblLayout w:type="autofit"/>
        <w:tblCellMar>
          <w:top w:w="0" w:type="dxa"/>
          <w:left w:w="108" w:type="dxa"/>
          <w:bottom w:w="0" w:type="dxa"/>
          <w:right w:w="108" w:type="dxa"/>
        </w:tblCellMar>
      </w:tblPr>
      <w:tblGrid>
        <w:gridCol w:w="618"/>
        <w:gridCol w:w="1628"/>
        <w:gridCol w:w="5061"/>
        <w:gridCol w:w="500"/>
        <w:gridCol w:w="617"/>
      </w:tblGrid>
      <w:tr>
        <w:tblPrEx>
          <w:tblCellMar>
            <w:top w:w="0" w:type="dxa"/>
            <w:left w:w="108" w:type="dxa"/>
            <w:bottom w:w="0" w:type="dxa"/>
            <w:right w:w="108" w:type="dxa"/>
          </w:tblCellMar>
        </w:tblPrEx>
        <w:trPr>
          <w:trHeight w:val="567" w:hRule="atLeast"/>
        </w:trPr>
        <w:tc>
          <w:tcPr>
            <w:tcW w:w="0" w:type="auto"/>
            <w:gridSpan w:val="5"/>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Cs w:val="32"/>
                <w:highlight w:val="none"/>
              </w:rPr>
            </w:pPr>
            <w:r>
              <w:rPr>
                <w:rFonts w:hint="eastAsia" w:ascii="宋体" w:hAnsi="宋体" w:eastAsia="宋体" w:cs="宋体"/>
                <w:b/>
                <w:bCs/>
                <w:color w:val="000000"/>
                <w:kern w:val="0"/>
                <w:szCs w:val="32"/>
                <w:highlight w:val="none"/>
                <w:lang w:bidi="ar"/>
              </w:rPr>
              <w:t>小学-日杂用品</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物品名称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规格参数</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数量</w:t>
            </w:r>
          </w:p>
        </w:tc>
      </w:tr>
      <w:tr>
        <w:tblPrEx>
          <w:tblCellMar>
            <w:top w:w="0" w:type="dxa"/>
            <w:left w:w="108" w:type="dxa"/>
            <w:bottom w:w="0" w:type="dxa"/>
            <w:right w:w="108" w:type="dxa"/>
          </w:tblCellMar>
        </w:tblPrEx>
        <w:trPr>
          <w:trHeight w:val="56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窗帘及窗帘轨道或滑杆</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数量根据学校实际面积确定</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#1.一层布</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2.全遮光（90%以上）、防晒、防虫</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3.原料成分: 涤纶</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4.特点：易清洗</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5.窗帘轨道：铝合金材质滑轨，顺滑静音，承重力强，不褪色，不变形，持久耐用。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6.含测量、供货、各种辅材辅料及安装</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7.工艺：高精密提花、不缩水、不起球、阻燃</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8.褶皱：1.7倍</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9.不含甲醛</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#10.布克重：不低于350g/m2</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11.单轨道</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w:t>
            </w:r>
            <w:r>
              <w:rPr>
                <w:rFonts w:hint="eastAsia" w:ascii="宋体" w:hAnsi="宋体" w:eastAsia="宋体" w:cs="宋体"/>
                <w:color w:val="000000"/>
                <w:kern w:val="0"/>
                <w:sz w:val="20"/>
                <w:szCs w:val="20"/>
                <w:highlight w:val="none"/>
                <w:vertAlign w:val="superscript"/>
                <w:lang w:bidi="ar"/>
              </w:rPr>
              <w:t>2</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5100</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主席台桌布含</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通道桌子桌布</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1.材质：金丝绒</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2.规格：总面积不少于40m2</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3.符合相关卫生标准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4.易清洗、耐污</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5.含供货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张</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国旗</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#1.尺寸：7200px×4800px（1号国旗192*288cm）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2.材质：春亚纺布料，工艺：数码喷绘</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3.特点：防水防掉色，耐光色牢度＞4</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4.包含304不锈钢短杆，与旗杆配套使用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面</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户外宣传栏</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1.尺寸：不小于2.2m2</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#2.宣传栏：钢化玻璃、铝合金边框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3.支座：金属支座</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4.落地式，且宣传栏下边框距地不小于1m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5.符合相关质量标准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6.质保期1年</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7.含供货、安装、调试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组</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储藏室货架</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1.材质：钢材、不易生锈</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2.高度：1.8-2.0m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#3.层数：5层</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4.高度可调节</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#5.长度：总长不少于25m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6.总承重：5000KG</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7.含供货、辅材及安装</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8.符合相关质量标准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批</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r>
      <w:tr>
        <w:tblPrEx>
          <w:tblCellMar>
            <w:top w:w="0" w:type="dxa"/>
            <w:left w:w="108" w:type="dxa"/>
            <w:bottom w:w="0" w:type="dxa"/>
            <w:right w:w="108" w:type="dxa"/>
          </w:tblCellMar>
        </w:tblPrEx>
        <w:trPr>
          <w:trHeight w:val="567" w:hRule="atLeast"/>
        </w:trPr>
        <w:tc>
          <w:tcPr>
            <w:tcW w:w="0" w:type="auto"/>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Cs w:val="32"/>
                <w:highlight w:val="none"/>
              </w:rPr>
            </w:pPr>
            <w:r>
              <w:rPr>
                <w:rFonts w:hint="eastAsia" w:ascii="宋体" w:hAnsi="宋体" w:eastAsia="宋体" w:cs="宋体"/>
                <w:b/>
                <w:bCs/>
                <w:color w:val="000000"/>
                <w:kern w:val="0"/>
                <w:szCs w:val="32"/>
                <w:highlight w:val="none"/>
                <w:lang w:bidi="ar"/>
              </w:rPr>
              <w:t>小学-保安用品</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物品名称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规格参数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数量</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钢叉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伸缩钢叉，不锈钢管，未拉伸1米，拉伸2米，上管直径28cm、下管直径35cm、半圆直径48cm，手柄ABS塑料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个</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强光手电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锂电可充电电池，三挡灯光，射程150-500m，抗摔，防身，砸窗等自救功能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个</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防刺服、背心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钢制防护内胆，前后两片高猛钢板，金属铆钉结构；防护等级24焦耳能动，不露刀尖；防护面积0.3㎡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防割手套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防割等级5级，耐磨，抗撕拉，包覆钢丝及高性能聚Z烯纤维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副</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防护盾牌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防爆盾牌，3.0mm厚，抗冲击耐腐蚀，尺寸90*50cm，透光率≥70%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副</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橡胶警棍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防爆PC棍，螺纹硬质，长度50cm，内置弹簧钢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根</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辣椒喷雾器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60ML，只防护不伤人催泪喷雾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罐</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保安哨笛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不锈钢哨笛，配件挂绳，声音洪亮、安全、耐用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个</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钢盔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PC工程塑料，均码可调节，抗冲击力强，坚固耐用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顶</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对讲机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功率3W，通话距离1-3公里，直充+座充，坚固抗摔防串台，频率：400-470MHZ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部</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w:t>
            </w:r>
          </w:p>
        </w:tc>
      </w:tr>
    </w:tbl>
    <w:p>
      <w:pPr>
        <w:pStyle w:val="14"/>
        <w:ind w:firstLine="720" w:firstLineChars="300"/>
        <w:rPr>
          <w:rFonts w:cs="宋体"/>
          <w:sz w:val="24"/>
          <w:highlight w:val="none"/>
        </w:rPr>
      </w:pPr>
    </w:p>
    <w:p>
      <w:pPr>
        <w:pStyle w:val="14"/>
        <w:ind w:firstLine="720" w:firstLineChars="300"/>
        <w:rPr>
          <w:rFonts w:cs="宋体"/>
          <w:sz w:val="24"/>
          <w:highlight w:val="none"/>
        </w:rPr>
        <w:sectPr>
          <w:pgSz w:w="11906" w:h="16838"/>
          <w:pgMar w:top="1440" w:right="1800" w:bottom="1440" w:left="1800" w:header="851" w:footer="992" w:gutter="0"/>
          <w:cols w:space="425" w:num="1"/>
          <w:docGrid w:type="lines" w:linePitch="312" w:charSpace="0"/>
        </w:sectPr>
      </w:pPr>
    </w:p>
    <w:p>
      <w:pPr>
        <w:pStyle w:val="14"/>
        <w:ind w:firstLine="720" w:firstLineChars="300"/>
        <w:rPr>
          <w:rFonts w:ascii="宋体" w:hAnsi="宋体" w:cs="宋体"/>
          <w:sz w:val="24"/>
          <w:highlight w:val="none"/>
        </w:rPr>
      </w:pPr>
      <w:r>
        <w:rPr>
          <w:rFonts w:hint="eastAsia" w:cs="宋体"/>
          <w:sz w:val="24"/>
          <w:highlight w:val="none"/>
        </w:rPr>
        <w:t>（三）供货安装调试要求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1.供货要求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本项目时间紧，任务重，投标人须做出详细的供货方案及保证措施。为使设备在供货完成后能快速高效的投入运行，投标人还需编制详尽的安装调试方案及质量保证措施，确保本项目在限定的时间内能顺利完成。</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2.包装运输要求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提供的全部货物均应采用本行业通用方式进行包装，且该包装应符合国家有关包装的法律、法规的规定。包装应适应于远距离运输、防潮、防震、防锈和防粗暴装卸，确保货物安全无损，运抵现场。由于包装不善所引起的货物锈蚀、损坏和损失均由中标人承担。</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3.安装调试要求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3.1投标人有协调各方的责任，完成各系统最终的集成和联调，包括本项目所采购设备和学校现有条件的关联，并保质保量形成完整可用的设备，满足采购人要求。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3.2根据本项目特点，投标人应在投标时向采购人提供安装调试及运行的进度计划表。</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3.3投标人应派足够的专业技术人员、施工人员到现场按安装设计规划进行设备安装。</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3.4投标人应充分了解项目的难度及特点，应提供能够指导设备安装、调试规划方案。</w:t>
      </w:r>
    </w:p>
    <w:p>
      <w:pPr>
        <w:spacing w:line="360" w:lineRule="auto"/>
        <w:ind w:firstLine="720" w:firstLineChars="300"/>
        <w:rPr>
          <w:rFonts w:ascii="宋体" w:hAnsi="宋体" w:cs="宋体"/>
          <w:sz w:val="24"/>
          <w:highlight w:val="none"/>
        </w:rPr>
      </w:pPr>
      <w:r>
        <w:rPr>
          <w:rFonts w:hint="eastAsia" w:ascii="宋体" w:hAnsi="宋体" w:cs="宋体"/>
          <w:sz w:val="24"/>
          <w:highlight w:val="none"/>
        </w:rPr>
        <w:t>（四）验收要求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1.初步查验要求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应在签订合同后7日内，向采购人提供各项货物各一个，进行初步查验，采购人对中标人所交货物依照采购文件上的技术规格要求和国家有关标准进行验收，以确认中标人提供的货物是否达到投标文件中所承诺的技术功能及国家有关标准。中标人提供设备验收结果达不到投标文件中所承诺的技术功能的，视为初步验收不合格，中标人须按照招标文件要求重新提供合格设备并通过初步验收方可正式供货。</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2.验收要求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2.1验收程序</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货物到达指定交货现场后，采购人或采购人指定的收货人（或最终用户）将会同中标人共同对合同货物进行检验，并出具双方签字的检验记录。检验过程所必需的专用设备或仪器由中标人提供。检验内容包括：</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（1）所供产品的规格、数量符合招标文件供应商投标承诺及采购合同约定的要求。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（2）所供产品的材质、颜色符合招标文件供应商投标承诺及采购合同约定的要求。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（3）所供产品的外观完好，无严重碰撞、表皮脱落、五金件生锈等明显瑕疵。</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（4）所供产品结构牢固，无安全隐患。</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（5）所有产品均已运输至指定地点，并安装调试完毕。</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（6）供应商投标承诺及采购合同约定的附件、工具、技术资料等齐全；提供产品使用说明书、合格证。</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2.2其他要求</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（1）所有货物必须是全新产品，生产日期为2023年5月1日及以后。</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需满足国家标准、行业规范和合同要求的技术参数标准，若不同标准要求出现冲突时，以最严格的标准为准。货物达不到质量或规格要求的，中标人必须在15日内完成整改，若整改不合格，中标人可以拒收并解除合同，造成的一切损失由供货商承担。</w:t>
      </w:r>
    </w:p>
    <w:p>
      <w:pPr>
        <w:pStyle w:val="21"/>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人将对货物生产情况进行监督检查，有权在中标人生产、安装、验收及使用过程等阶段委托国家认证认可的检测机构（需能在国家认证认可监督管理委员会https://www.cnca.gov.cn官网上查询）对本项目原辅材料和成品进行抽样检测，检测费用由中标人承担。不符合招标文件、投标文件、采购合同和相关标准要求的将不予验收，检测不合格的，采购人将拒绝验收或退货，且全部家具做返厂处理，所发生费用由中标人承担并赔偿采购人的所有损失。</w:t>
      </w:r>
    </w:p>
    <w:p>
      <w:pPr>
        <w:spacing w:line="360" w:lineRule="auto"/>
        <w:ind w:firstLine="720" w:firstLineChars="300"/>
        <w:rPr>
          <w:rFonts w:ascii="宋体" w:hAnsi="宋体" w:cs="宋体"/>
          <w:sz w:val="24"/>
          <w:highlight w:val="none"/>
        </w:rPr>
      </w:pPr>
      <w:r>
        <w:rPr>
          <w:rFonts w:hint="eastAsia" w:ascii="宋体" w:hAnsi="宋体" w:cs="宋体"/>
          <w:sz w:val="24"/>
          <w:highlight w:val="none"/>
        </w:rPr>
        <w:t>（五）售后服务要求</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1.质保期</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1.1本项目所有货物质量保证期（以下简称质保期）3年，</w:t>
      </w:r>
      <w:r>
        <w:rPr>
          <w:rFonts w:ascii="宋体" w:hAnsi="宋体" w:eastAsia="宋体" w:cs="宋体"/>
          <w:sz w:val="24"/>
          <w:highlight w:val="none"/>
        </w:rPr>
        <w:t>自</w:t>
      </w:r>
      <w:r>
        <w:rPr>
          <w:rFonts w:hint="eastAsia" w:ascii="宋体" w:hAnsi="宋体" w:eastAsia="宋体" w:cs="宋体"/>
          <w:sz w:val="24"/>
          <w:highlight w:val="none"/>
        </w:rPr>
        <w:t>交货并终验</w:t>
      </w:r>
      <w:r>
        <w:rPr>
          <w:rFonts w:ascii="宋体" w:hAnsi="宋体" w:eastAsia="宋体" w:cs="宋体"/>
          <w:sz w:val="24"/>
          <w:highlight w:val="none"/>
        </w:rPr>
        <w:t>合格之日起计。</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1.2实际质保期以中标人在投标文件中承诺的质保期（不少于3年）为准，</w:t>
      </w:r>
      <w:r>
        <w:rPr>
          <w:rFonts w:ascii="宋体" w:hAnsi="宋体" w:eastAsia="宋体" w:cs="宋体"/>
          <w:sz w:val="24"/>
          <w:highlight w:val="none"/>
        </w:rPr>
        <w:t>自</w:t>
      </w:r>
      <w:r>
        <w:rPr>
          <w:rFonts w:hint="eastAsia" w:ascii="宋体" w:hAnsi="宋体" w:eastAsia="宋体" w:cs="宋体"/>
          <w:sz w:val="24"/>
          <w:highlight w:val="none"/>
        </w:rPr>
        <w:t>交货并终验</w:t>
      </w:r>
      <w:r>
        <w:rPr>
          <w:rFonts w:ascii="宋体" w:hAnsi="宋体" w:eastAsia="宋体" w:cs="宋体"/>
          <w:sz w:val="24"/>
          <w:highlight w:val="none"/>
        </w:rPr>
        <w:t>合格之日起计。</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1.3在实际质保期内中标人负责更换易损件、五金件，负责产品的日常维护保养；产品在正常使用情况下发生损坏或产生质量问题，中标人免费予以技术服务、维修或更换，并承担相应费用和零部件费用，不收取额外费用。超出中标人承诺的质保期，中标人应积极帮助采购人修理，并提供优惠价格的配件和服务。</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2.售后服务</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2.1中标人应提供售后服务中心地址、负责人联系方式并成立服务组织机构。选派专人负责所有设备的运行维护，设置24小时技术服务热线接受采购人技术咨询与问题响应，解决采购人的各类问题。</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2.2</w:t>
      </w:r>
      <w:r>
        <w:rPr>
          <w:rFonts w:ascii="宋体" w:hAnsi="宋体" w:eastAsia="宋体" w:cs="宋体"/>
          <w:sz w:val="24"/>
          <w:highlight w:val="none"/>
        </w:rPr>
        <w:t>电话无法解决</w:t>
      </w:r>
      <w:r>
        <w:rPr>
          <w:rFonts w:hint="eastAsia" w:ascii="宋体" w:hAnsi="宋体" w:eastAsia="宋体" w:cs="宋体"/>
          <w:sz w:val="24"/>
          <w:highlight w:val="none"/>
        </w:rPr>
        <w:t>的问题</w:t>
      </w:r>
      <w:r>
        <w:rPr>
          <w:rFonts w:ascii="宋体" w:hAnsi="宋体" w:eastAsia="宋体" w:cs="宋体"/>
          <w:sz w:val="24"/>
          <w:highlight w:val="none"/>
        </w:rPr>
        <w:t>，</w:t>
      </w:r>
      <w:r>
        <w:rPr>
          <w:rFonts w:hint="eastAsia" w:ascii="宋体" w:hAnsi="宋体" w:eastAsia="宋体" w:cs="宋体"/>
          <w:sz w:val="24"/>
          <w:highlight w:val="none"/>
        </w:rPr>
        <w:t>中</w:t>
      </w:r>
      <w:r>
        <w:rPr>
          <w:rFonts w:ascii="宋体" w:hAnsi="宋体" w:eastAsia="宋体" w:cs="宋体"/>
          <w:sz w:val="24"/>
          <w:highlight w:val="none"/>
        </w:rPr>
        <w:t>标人应在接到</w:t>
      </w:r>
      <w:r>
        <w:rPr>
          <w:rFonts w:hint="eastAsia" w:ascii="宋体" w:hAnsi="宋体" w:eastAsia="宋体" w:cs="宋体"/>
          <w:sz w:val="24"/>
          <w:highlight w:val="none"/>
        </w:rPr>
        <w:t>故障</w:t>
      </w:r>
      <w:r>
        <w:rPr>
          <w:rFonts w:ascii="宋体" w:hAnsi="宋体" w:eastAsia="宋体" w:cs="宋体"/>
          <w:sz w:val="24"/>
          <w:highlight w:val="none"/>
        </w:rPr>
        <w:t>通知后2小时内做出响应，并采取行动</w:t>
      </w:r>
      <w:r>
        <w:rPr>
          <w:rFonts w:hint="eastAsia" w:ascii="宋体" w:hAnsi="宋体" w:eastAsia="宋体" w:cs="宋体"/>
          <w:sz w:val="24"/>
          <w:highlight w:val="none"/>
        </w:rPr>
        <w:t>。需现场解决的，24小时内组织专业维修队伍到达现场，对产品进行维修；现场无法解决的，质保期内免费包退、包换，超出质保期的协助中标人制定解决方案、提供解决渠道。</w:t>
      </w:r>
      <w:r>
        <w:rPr>
          <w:rFonts w:ascii="宋体" w:hAnsi="宋体" w:eastAsia="宋体" w:cs="宋体"/>
          <w:sz w:val="24"/>
          <w:highlight w:val="none"/>
        </w:rPr>
        <w:t>如</w:t>
      </w:r>
      <w:r>
        <w:rPr>
          <w:rFonts w:hint="eastAsia" w:ascii="宋体" w:hAnsi="宋体" w:eastAsia="宋体" w:cs="宋体"/>
          <w:sz w:val="24"/>
          <w:highlight w:val="none"/>
        </w:rPr>
        <w:t>中</w:t>
      </w:r>
      <w:r>
        <w:rPr>
          <w:rFonts w:ascii="宋体" w:hAnsi="宋体" w:eastAsia="宋体" w:cs="宋体"/>
          <w:sz w:val="24"/>
          <w:highlight w:val="none"/>
        </w:rPr>
        <w:t>标人在接到通知后</w:t>
      </w:r>
      <w:r>
        <w:rPr>
          <w:rFonts w:hint="eastAsia" w:ascii="宋体" w:hAnsi="宋体" w:eastAsia="宋体" w:cs="宋体"/>
          <w:sz w:val="24"/>
          <w:highlight w:val="none"/>
        </w:rPr>
        <w:t>2</w:t>
      </w:r>
      <w:r>
        <w:rPr>
          <w:rFonts w:ascii="宋体" w:hAnsi="宋体" w:eastAsia="宋体" w:cs="宋体"/>
          <w:sz w:val="24"/>
          <w:highlight w:val="none"/>
        </w:rPr>
        <w:t>个工作日内未做出响应，</w:t>
      </w:r>
      <w:r>
        <w:rPr>
          <w:rFonts w:hint="eastAsia" w:ascii="宋体" w:hAnsi="宋体" w:eastAsia="宋体" w:cs="宋体"/>
          <w:sz w:val="24"/>
          <w:highlight w:val="none"/>
        </w:rPr>
        <w:t>中</w:t>
      </w:r>
      <w:r>
        <w:rPr>
          <w:rFonts w:ascii="宋体" w:hAnsi="宋体" w:eastAsia="宋体" w:cs="宋体"/>
          <w:sz w:val="24"/>
          <w:highlight w:val="none"/>
        </w:rPr>
        <w:t>标人必须对由于故障所造成的损失后果负责。</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2.3中标人应明确做出运输、安装至少2次的搬迁拆装服务承诺，自最终验收合格开始计算搬迁拆装次数。</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2.4中标人应明确承诺为采购人提供所投产品样式设计、制订详细需求等服务。</w:t>
      </w:r>
    </w:p>
    <w:p>
      <w:pPr>
        <w:spacing w:line="360" w:lineRule="auto"/>
        <w:ind w:firstLine="480" w:firstLineChars="200"/>
        <w:outlineLvl w:val="1"/>
        <w:rPr>
          <w:highlight w:val="none"/>
        </w:rPr>
      </w:pPr>
      <w:r>
        <w:rPr>
          <w:rFonts w:hint="eastAsia" w:ascii="宋体" w:hAnsi="宋体" w:eastAsia="宋体" w:cs="宋体"/>
          <w:sz w:val="24"/>
          <w:highlight w:val="none"/>
        </w:rPr>
        <w:t>2.5中标人应承诺所提供的产品（包括硬件、配套软件）为符合国家知识产权法律法规要求的正规正版产品，不属于假冒伪劣商品；中标人还应保证采购人不受到第三方关于侵犯知识产权以及专利权、商标权或工业设计等知识产权方面的指控，任何第三方如果提出此方面指控均与采购人无关，中标人应与第三方交涉，并承担可能发生的一切法律责任、费用和后果；若采购人因此遭致损失的，中标人须赔偿该损失</w:t>
      </w:r>
    </w:p>
    <w:p>
      <w:pPr>
        <w:adjustRightInd w:val="0"/>
        <w:spacing w:line="360" w:lineRule="auto"/>
        <w:ind w:firstLine="482" w:firstLineChars="200"/>
        <w:textAlignment w:val="baseline"/>
        <w:rPr>
          <w:rFonts w:ascii="宋体" w:hAnsi="宋体" w:cs="宋体"/>
          <w:b/>
          <w:sz w:val="24"/>
          <w:highlight w:val="none"/>
        </w:rPr>
      </w:pPr>
      <w:r>
        <w:rPr>
          <w:rFonts w:hint="eastAsia" w:ascii="宋体" w:hAnsi="宋体" w:cs="宋体"/>
          <w:b/>
          <w:sz w:val="24"/>
          <w:highlight w:val="none"/>
        </w:rPr>
        <w:t>四、拟采购标的的商务要求</w:t>
      </w:r>
    </w:p>
    <w:p>
      <w:pPr>
        <w:spacing w:line="360" w:lineRule="auto"/>
        <w:ind w:firstLine="720" w:firstLineChars="300"/>
        <w:rPr>
          <w:rFonts w:ascii="宋体" w:hAnsi="宋体" w:cs="宋体"/>
          <w:sz w:val="24"/>
          <w:highlight w:val="none"/>
        </w:rPr>
      </w:pPr>
      <w:r>
        <w:rPr>
          <w:rFonts w:hint="eastAsia" w:ascii="宋体" w:hAnsi="宋体" w:cs="宋体"/>
          <w:sz w:val="24"/>
          <w:highlight w:val="none"/>
        </w:rPr>
        <w:t>（一）报价要求</w:t>
      </w:r>
    </w:p>
    <w:p>
      <w:pPr>
        <w:spacing w:line="360" w:lineRule="auto"/>
        <w:ind w:firstLine="720" w:firstLineChars="300"/>
        <w:rPr>
          <w:rFonts w:eastAsia="宋体"/>
          <w:sz w:val="24"/>
          <w:highlight w:val="none"/>
        </w:rPr>
      </w:pPr>
      <w:r>
        <w:rPr>
          <w:rFonts w:hint="eastAsia" w:eastAsia="宋体"/>
          <w:sz w:val="24"/>
          <w:highlight w:val="none"/>
        </w:rPr>
        <w:t>1.001包 功能教室设备投标限价239.24万元；</w:t>
      </w:r>
    </w:p>
    <w:p>
      <w:pPr>
        <w:spacing w:line="360" w:lineRule="auto"/>
        <w:ind w:firstLine="720" w:firstLineChars="300"/>
        <w:rPr>
          <w:rFonts w:eastAsia="宋体"/>
          <w:sz w:val="24"/>
          <w:highlight w:val="none"/>
        </w:rPr>
      </w:pPr>
      <w:r>
        <w:rPr>
          <w:rFonts w:hint="eastAsia" w:eastAsia="宋体"/>
          <w:sz w:val="24"/>
          <w:highlight w:val="none"/>
        </w:rPr>
        <w:t>002包 日杂及保安设备投标限价98万元。</w:t>
      </w:r>
    </w:p>
    <w:p>
      <w:pPr>
        <w:spacing w:line="360" w:lineRule="auto"/>
        <w:ind w:firstLine="720" w:firstLineChars="300"/>
        <w:rPr>
          <w:rFonts w:eastAsia="宋体"/>
          <w:sz w:val="24"/>
          <w:highlight w:val="none"/>
        </w:rPr>
      </w:pPr>
      <w:r>
        <w:rPr>
          <w:rFonts w:hint="eastAsia" w:eastAsia="宋体"/>
          <w:sz w:val="24"/>
          <w:highlight w:val="none"/>
        </w:rPr>
        <w:t>2.投标报价为采购人指定地点的现场交货价，包括：</w:t>
      </w:r>
    </w:p>
    <w:p>
      <w:pPr>
        <w:spacing w:line="360" w:lineRule="auto"/>
        <w:ind w:firstLine="720" w:firstLineChars="300"/>
        <w:rPr>
          <w:rFonts w:eastAsia="宋体"/>
          <w:sz w:val="24"/>
          <w:highlight w:val="none"/>
        </w:rPr>
      </w:pPr>
      <w:r>
        <w:rPr>
          <w:rFonts w:hint="eastAsia" w:eastAsia="宋体"/>
          <w:sz w:val="24"/>
          <w:highlight w:val="none"/>
        </w:rPr>
        <w:t>（1）货物及标准附件，备品备件，专用工具的价格；</w:t>
      </w:r>
    </w:p>
    <w:p>
      <w:pPr>
        <w:spacing w:line="360" w:lineRule="auto"/>
        <w:ind w:firstLine="720" w:firstLineChars="300"/>
        <w:rPr>
          <w:rFonts w:eastAsia="宋体"/>
          <w:sz w:val="24"/>
          <w:highlight w:val="none"/>
        </w:rPr>
      </w:pPr>
      <w:r>
        <w:rPr>
          <w:rFonts w:hint="eastAsia" w:eastAsia="宋体"/>
          <w:sz w:val="24"/>
          <w:highlight w:val="none"/>
        </w:rPr>
        <w:t>（2）运输，装卸，调试，售后服务等费用；</w:t>
      </w:r>
    </w:p>
    <w:p>
      <w:pPr>
        <w:spacing w:line="360" w:lineRule="auto"/>
        <w:ind w:firstLine="720" w:firstLineChars="300"/>
        <w:rPr>
          <w:rFonts w:eastAsia="宋体"/>
          <w:sz w:val="24"/>
          <w:highlight w:val="none"/>
        </w:rPr>
      </w:pPr>
      <w:r>
        <w:rPr>
          <w:rFonts w:hint="eastAsia" w:eastAsia="宋体"/>
          <w:sz w:val="24"/>
          <w:highlight w:val="none"/>
        </w:rPr>
        <w:t>（3）必要的保险费用和各项税费；</w:t>
      </w:r>
    </w:p>
    <w:p>
      <w:pPr>
        <w:spacing w:line="360" w:lineRule="auto"/>
        <w:ind w:firstLine="720" w:firstLineChars="300"/>
        <w:rPr>
          <w:rFonts w:eastAsia="宋体"/>
          <w:sz w:val="24"/>
          <w:highlight w:val="none"/>
        </w:rPr>
      </w:pPr>
      <w:r>
        <w:rPr>
          <w:rFonts w:hint="eastAsia" w:eastAsia="宋体"/>
          <w:sz w:val="24"/>
          <w:highlight w:val="none"/>
        </w:rPr>
        <w:t>（4）安装调试的费用；</w:t>
      </w:r>
    </w:p>
    <w:p>
      <w:pPr>
        <w:spacing w:line="360" w:lineRule="auto"/>
        <w:ind w:firstLine="720" w:firstLineChars="300"/>
        <w:rPr>
          <w:rFonts w:eastAsia="宋体"/>
          <w:sz w:val="24"/>
          <w:highlight w:val="none"/>
        </w:rPr>
      </w:pPr>
      <w:r>
        <w:rPr>
          <w:rFonts w:hint="eastAsia" w:eastAsia="宋体"/>
          <w:sz w:val="24"/>
          <w:highlight w:val="none"/>
        </w:rPr>
        <w:t>（5）送货上门的费用；</w:t>
      </w:r>
    </w:p>
    <w:p>
      <w:pPr>
        <w:spacing w:line="360" w:lineRule="auto"/>
        <w:ind w:firstLine="720" w:firstLineChars="300"/>
        <w:rPr>
          <w:rFonts w:eastAsia="宋体"/>
          <w:sz w:val="24"/>
          <w:highlight w:val="none"/>
        </w:rPr>
      </w:pPr>
      <w:r>
        <w:rPr>
          <w:rFonts w:hint="eastAsia" w:eastAsia="宋体"/>
          <w:sz w:val="24"/>
          <w:highlight w:val="none"/>
        </w:rPr>
        <w:t>（6）售后服务，质保期内维修、退换及其他所有成本费用的总和。</w:t>
      </w:r>
    </w:p>
    <w:p>
      <w:pPr>
        <w:spacing w:line="360" w:lineRule="auto"/>
        <w:ind w:firstLine="720" w:firstLineChars="300"/>
        <w:rPr>
          <w:rFonts w:ascii="宋体" w:hAnsi="宋体" w:eastAsia="宋体" w:cs="宋体"/>
          <w:sz w:val="24"/>
          <w:highlight w:val="none"/>
        </w:rPr>
      </w:pPr>
      <w:r>
        <w:rPr>
          <w:rFonts w:hint="eastAsia" w:ascii="宋体" w:hAnsi="宋体" w:cs="宋体"/>
          <w:sz w:val="24"/>
          <w:highlight w:val="none"/>
        </w:rPr>
        <w:t>（二）交付时间、地点</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★自中标通知书发出之日起7日内签订合同，签订合同7日内提供样品供采购人初次查验，初次查验合格且采购人通知入场后30日内供货完毕并完成安装调试。现场交货，地点由采购人指定。</w:t>
      </w:r>
    </w:p>
    <w:p>
      <w:pPr>
        <w:spacing w:line="360" w:lineRule="auto"/>
        <w:ind w:firstLine="720" w:firstLineChars="300"/>
        <w:rPr>
          <w:rFonts w:ascii="宋体" w:hAnsi="宋体" w:cs="宋体"/>
          <w:sz w:val="24"/>
          <w:highlight w:val="none"/>
        </w:rPr>
      </w:pPr>
      <w:r>
        <w:rPr>
          <w:rFonts w:hint="eastAsia" w:ascii="宋体" w:hAnsi="宋体" w:cs="宋体"/>
          <w:sz w:val="24"/>
          <w:highlight w:val="none"/>
        </w:rPr>
        <w:t>（三）付款方式</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1.合同一经签订，在经费到位的前提下，中标人开具相应金额发票后，采购人预付合同金额的30%，安装调试完毕并经采购人验收通过，中标人开具相应金额发票后，采购人支付剩余合同金额。</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2.由于本合同金额100%来源于政府财政拨付，合同约定的付款时间以财政资金实际到位为前提，如因采购人财政资金未到位导致采购人无法按前述付款时间节点支付款项，中标人同意待采购人财政资金到位后，对照支付进度节点，按工作程序及时支付。</w:t>
      </w:r>
    </w:p>
    <w:p>
      <w:pPr>
        <w:spacing w:line="360" w:lineRule="auto"/>
        <w:ind w:firstLine="720" w:firstLineChars="300"/>
        <w:rPr>
          <w:sz w:val="24"/>
          <w:highlight w:val="none"/>
        </w:rPr>
      </w:pPr>
      <w:r>
        <w:rPr>
          <w:sz w:val="24"/>
          <w:highlight w:val="none"/>
        </w:rPr>
        <w:t>（</w:t>
      </w:r>
      <w:r>
        <w:rPr>
          <w:rFonts w:hint="eastAsia"/>
          <w:sz w:val="24"/>
          <w:highlight w:val="none"/>
        </w:rPr>
        <w:t>四</w:t>
      </w:r>
      <w:r>
        <w:rPr>
          <w:sz w:val="24"/>
          <w:highlight w:val="none"/>
        </w:rPr>
        <w:t>）</w:t>
      </w:r>
      <w:r>
        <w:rPr>
          <w:rFonts w:hint="eastAsia"/>
          <w:sz w:val="24"/>
          <w:highlight w:val="none"/>
        </w:rPr>
        <w:t>其他要求</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1.本项目001包功能教室不专门面向中小企业采购，对小微企业，给予10%的扣除价格，用扣除后的价格参与评审。002包</w:t>
      </w:r>
      <w:r>
        <w:rPr>
          <w:rFonts w:hint="eastAsia" w:eastAsia="宋体"/>
          <w:sz w:val="24"/>
          <w:highlight w:val="none"/>
        </w:rPr>
        <w:t>日杂及保安设备</w:t>
      </w:r>
      <w:r>
        <w:rPr>
          <w:rFonts w:hint="eastAsia" w:ascii="宋体" w:hAnsi="宋体" w:eastAsia="宋体" w:cs="宋体"/>
          <w:sz w:val="24"/>
          <w:highlight w:val="none"/>
        </w:rPr>
        <w:t>专门面向</w:t>
      </w:r>
      <w:r>
        <w:rPr>
          <w:rFonts w:hint="eastAsia" w:ascii="宋体" w:hAnsi="宋体" w:eastAsia="宋体" w:cs="宋体"/>
          <w:sz w:val="24"/>
          <w:highlight w:val="none"/>
          <w:lang w:val="en-US" w:eastAsia="zh-CN"/>
        </w:rPr>
        <w:t>小微</w:t>
      </w:r>
      <w:r>
        <w:rPr>
          <w:rFonts w:hint="eastAsia" w:ascii="宋体" w:hAnsi="宋体" w:eastAsia="宋体" w:cs="宋体"/>
          <w:sz w:val="24"/>
          <w:highlight w:val="none"/>
        </w:rPr>
        <w:t>企业采购。</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2.</w:t>
      </w:r>
      <w:r>
        <w:rPr>
          <w:rFonts w:ascii="宋体" w:hAnsi="宋体" w:eastAsia="宋体" w:cs="宋体"/>
          <w:sz w:val="24"/>
          <w:highlight w:val="none"/>
        </w:rPr>
        <w:t>本项目</w:t>
      </w:r>
      <w:r>
        <w:rPr>
          <w:rFonts w:hint="eastAsia" w:ascii="宋体" w:hAnsi="宋体" w:eastAsia="宋体" w:cs="宋体"/>
          <w:sz w:val="24"/>
          <w:highlight w:val="none"/>
        </w:rPr>
        <w:t>不</w:t>
      </w:r>
      <w:r>
        <w:rPr>
          <w:rFonts w:ascii="宋体" w:hAnsi="宋体" w:eastAsia="宋体" w:cs="宋体"/>
          <w:sz w:val="24"/>
          <w:highlight w:val="none"/>
        </w:rPr>
        <w:t>接受联合体投标。</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3.</w:t>
      </w:r>
      <w:r>
        <w:rPr>
          <w:rFonts w:ascii="宋体" w:hAnsi="宋体" w:eastAsia="宋体" w:cs="宋体"/>
          <w:sz w:val="24"/>
          <w:highlight w:val="none"/>
        </w:rPr>
        <w:t>本项目</w:t>
      </w:r>
      <w:r>
        <w:rPr>
          <w:rFonts w:hint="eastAsia" w:ascii="宋体" w:hAnsi="宋体" w:eastAsia="宋体" w:cs="宋体"/>
          <w:sz w:val="24"/>
          <w:highlight w:val="none"/>
        </w:rPr>
        <w:t>不</w:t>
      </w:r>
      <w:r>
        <w:rPr>
          <w:rFonts w:ascii="宋体" w:hAnsi="宋体" w:eastAsia="宋体" w:cs="宋体"/>
          <w:sz w:val="24"/>
          <w:highlight w:val="none"/>
        </w:rPr>
        <w:t>收取投标保证金。</w:t>
      </w:r>
    </w:p>
    <w:p>
      <w:pPr>
        <w:spacing w:line="360" w:lineRule="auto"/>
        <w:ind w:firstLine="480" w:firstLineChars="200"/>
        <w:outlineLvl w:val="1"/>
        <w:rPr>
          <w:rFonts w:ascii="宋体" w:hAnsi="宋体" w:eastAsia="宋体" w:cs="宋体"/>
          <w:sz w:val="24"/>
          <w:highlight w:val="none"/>
        </w:rPr>
      </w:pPr>
      <w:r>
        <w:rPr>
          <w:rFonts w:hint="eastAsia" w:ascii="宋体" w:hAnsi="宋体" w:eastAsia="宋体" w:cs="宋体"/>
          <w:sz w:val="24"/>
          <w:highlight w:val="none"/>
        </w:rPr>
        <w:t>4.</w:t>
      </w:r>
      <w:r>
        <w:rPr>
          <w:rFonts w:ascii="宋体" w:hAnsi="宋体" w:eastAsia="宋体" w:cs="宋体"/>
          <w:sz w:val="24"/>
          <w:highlight w:val="none"/>
        </w:rPr>
        <w:t>本项目</w:t>
      </w:r>
      <w:r>
        <w:rPr>
          <w:rFonts w:hint="eastAsia" w:ascii="宋体" w:hAnsi="宋体" w:eastAsia="宋体" w:cs="宋体"/>
          <w:sz w:val="24"/>
          <w:highlight w:val="none"/>
        </w:rPr>
        <w:t>两个标包，不</w:t>
      </w:r>
      <w:r>
        <w:rPr>
          <w:rFonts w:ascii="宋体" w:hAnsi="宋体" w:eastAsia="宋体" w:cs="宋体"/>
          <w:sz w:val="24"/>
          <w:highlight w:val="none"/>
        </w:rPr>
        <w:t>接受</w:t>
      </w:r>
      <w:r>
        <w:rPr>
          <w:rFonts w:hint="eastAsia" w:ascii="宋体" w:hAnsi="宋体" w:eastAsia="宋体" w:cs="宋体"/>
          <w:sz w:val="24"/>
          <w:highlight w:val="none"/>
        </w:rPr>
        <w:t>再次分包，两个标包兼投不兼中</w:t>
      </w:r>
      <w:r>
        <w:rPr>
          <w:rFonts w:ascii="宋体" w:hAnsi="宋体" w:eastAsia="宋体" w:cs="宋体"/>
          <w:sz w:val="24"/>
          <w:highlight w:val="none"/>
        </w:rPr>
        <w:t>。</w:t>
      </w:r>
    </w:p>
    <w:p>
      <w:pPr>
        <w:spacing w:line="360" w:lineRule="auto"/>
        <w:outlineLvl w:val="1"/>
        <w:rPr>
          <w:rFonts w:ascii="宋体" w:hAnsi="宋体" w:eastAsia="宋体" w:cs="宋体"/>
          <w:sz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DC835"/>
    <w:multiLevelType w:val="singleLevel"/>
    <w:tmpl w:val="84BDC835"/>
    <w:lvl w:ilvl="0" w:tentative="0">
      <w:start w:val="1"/>
      <w:numFmt w:val="decimal"/>
      <w:suff w:val="nothing"/>
      <w:lvlText w:val="%1."/>
      <w:lvlJc w:val="left"/>
    </w:lvl>
  </w:abstractNum>
  <w:abstractNum w:abstractNumId="1">
    <w:nsid w:val="8B242F25"/>
    <w:multiLevelType w:val="singleLevel"/>
    <w:tmpl w:val="8B242F25"/>
    <w:lvl w:ilvl="0" w:tentative="0">
      <w:start w:val="1"/>
      <w:numFmt w:val="decimal"/>
      <w:lvlText w:val="%1"/>
      <w:lvlJc w:val="left"/>
      <w:pPr>
        <w:tabs>
          <w:tab w:val="left" w:pos="420"/>
        </w:tabs>
        <w:ind w:left="425" w:leftChars="0" w:hanging="425" w:firstLineChars="0"/>
      </w:pPr>
      <w:rPr>
        <w:rFonts w:hint="default"/>
      </w:rPr>
    </w:lvl>
  </w:abstractNum>
  <w:abstractNum w:abstractNumId="2">
    <w:nsid w:val="8F04ED60"/>
    <w:multiLevelType w:val="singleLevel"/>
    <w:tmpl w:val="8F04ED60"/>
    <w:lvl w:ilvl="0" w:tentative="0">
      <w:start w:val="1"/>
      <w:numFmt w:val="decimal"/>
      <w:suff w:val="nothing"/>
      <w:lvlText w:val="%1."/>
      <w:lvlJc w:val="left"/>
      <w:pPr>
        <w:ind w:left="454" w:hanging="454"/>
      </w:pPr>
      <w:rPr>
        <w:rFonts w:hint="default"/>
      </w:rPr>
    </w:lvl>
  </w:abstractNum>
  <w:abstractNum w:abstractNumId="3">
    <w:nsid w:val="9FA39BD0"/>
    <w:multiLevelType w:val="singleLevel"/>
    <w:tmpl w:val="9FA39BD0"/>
    <w:lvl w:ilvl="0" w:tentative="0">
      <w:start w:val="1"/>
      <w:numFmt w:val="decimal"/>
      <w:suff w:val="nothing"/>
      <w:lvlText w:val="%1."/>
      <w:lvlJc w:val="left"/>
    </w:lvl>
  </w:abstractNum>
  <w:abstractNum w:abstractNumId="4">
    <w:nsid w:val="BAFDC17A"/>
    <w:multiLevelType w:val="singleLevel"/>
    <w:tmpl w:val="BAFDC17A"/>
    <w:lvl w:ilvl="0" w:tentative="0">
      <w:start w:val="1"/>
      <w:numFmt w:val="decimal"/>
      <w:suff w:val="nothing"/>
      <w:lvlText w:val="%1."/>
      <w:lvlJc w:val="left"/>
    </w:lvl>
  </w:abstractNum>
  <w:abstractNum w:abstractNumId="5">
    <w:nsid w:val="BBD1A64F"/>
    <w:multiLevelType w:val="singleLevel"/>
    <w:tmpl w:val="BBD1A64F"/>
    <w:lvl w:ilvl="0" w:tentative="0">
      <w:start w:val="1"/>
      <w:numFmt w:val="decimal"/>
      <w:suff w:val="nothing"/>
      <w:lvlText w:val="%1."/>
      <w:lvlJc w:val="left"/>
    </w:lvl>
  </w:abstractNum>
  <w:abstractNum w:abstractNumId="6">
    <w:nsid w:val="C322CA92"/>
    <w:multiLevelType w:val="singleLevel"/>
    <w:tmpl w:val="C322CA92"/>
    <w:lvl w:ilvl="0" w:tentative="0">
      <w:start w:val="1"/>
      <w:numFmt w:val="decimal"/>
      <w:suff w:val="nothing"/>
      <w:lvlText w:val="%1."/>
      <w:lvlJc w:val="left"/>
    </w:lvl>
  </w:abstractNum>
  <w:abstractNum w:abstractNumId="7">
    <w:nsid w:val="C7BB0FCA"/>
    <w:multiLevelType w:val="singleLevel"/>
    <w:tmpl w:val="C7BB0FCA"/>
    <w:lvl w:ilvl="0" w:tentative="0">
      <w:start w:val="1"/>
      <w:numFmt w:val="decimal"/>
      <w:suff w:val="nothing"/>
      <w:lvlText w:val="%1."/>
      <w:lvlJc w:val="left"/>
    </w:lvl>
  </w:abstractNum>
  <w:abstractNum w:abstractNumId="8">
    <w:nsid w:val="D36CCD78"/>
    <w:multiLevelType w:val="singleLevel"/>
    <w:tmpl w:val="D36CCD78"/>
    <w:lvl w:ilvl="0" w:tentative="0">
      <w:start w:val="1"/>
      <w:numFmt w:val="chineseCounting"/>
      <w:suff w:val="nothing"/>
      <w:lvlText w:val="%1、"/>
      <w:lvlJc w:val="left"/>
      <w:pPr>
        <w:ind w:left="0" w:firstLine="420"/>
      </w:pPr>
      <w:rPr>
        <w:rFonts w:hint="eastAsia"/>
      </w:rPr>
    </w:lvl>
  </w:abstractNum>
  <w:abstractNum w:abstractNumId="9">
    <w:nsid w:val="D38B2106"/>
    <w:multiLevelType w:val="singleLevel"/>
    <w:tmpl w:val="D38B2106"/>
    <w:lvl w:ilvl="0" w:tentative="0">
      <w:start w:val="1"/>
      <w:numFmt w:val="decimal"/>
      <w:lvlText w:val="%1"/>
      <w:lvlJc w:val="left"/>
      <w:pPr>
        <w:tabs>
          <w:tab w:val="left" w:pos="420"/>
        </w:tabs>
        <w:ind w:left="425" w:leftChars="0" w:hanging="425" w:firstLineChars="0"/>
      </w:pPr>
      <w:rPr>
        <w:rFonts w:hint="default"/>
      </w:rPr>
    </w:lvl>
  </w:abstractNum>
  <w:abstractNum w:abstractNumId="10">
    <w:nsid w:val="D8197E48"/>
    <w:multiLevelType w:val="singleLevel"/>
    <w:tmpl w:val="D8197E48"/>
    <w:lvl w:ilvl="0" w:tentative="0">
      <w:start w:val="1"/>
      <w:numFmt w:val="decimal"/>
      <w:lvlText w:val="%1"/>
      <w:lvlJc w:val="left"/>
      <w:pPr>
        <w:tabs>
          <w:tab w:val="left" w:pos="420"/>
        </w:tabs>
        <w:ind w:left="425" w:leftChars="0" w:hanging="425" w:firstLineChars="0"/>
      </w:pPr>
      <w:rPr>
        <w:rFonts w:hint="default"/>
      </w:rPr>
    </w:lvl>
  </w:abstractNum>
  <w:abstractNum w:abstractNumId="11">
    <w:nsid w:val="D82887EC"/>
    <w:multiLevelType w:val="singleLevel"/>
    <w:tmpl w:val="D82887EC"/>
    <w:lvl w:ilvl="0" w:tentative="0">
      <w:start w:val="1"/>
      <w:numFmt w:val="decimal"/>
      <w:lvlText w:val="%1"/>
      <w:lvlJc w:val="left"/>
      <w:pPr>
        <w:tabs>
          <w:tab w:val="left" w:pos="420"/>
        </w:tabs>
        <w:ind w:left="425" w:leftChars="0" w:hanging="425" w:firstLineChars="0"/>
      </w:pPr>
      <w:rPr>
        <w:rFonts w:hint="default"/>
      </w:rPr>
    </w:lvl>
  </w:abstractNum>
  <w:abstractNum w:abstractNumId="12">
    <w:nsid w:val="E1DA30FD"/>
    <w:multiLevelType w:val="singleLevel"/>
    <w:tmpl w:val="E1DA30FD"/>
    <w:lvl w:ilvl="0" w:tentative="0">
      <w:start w:val="1"/>
      <w:numFmt w:val="decimal"/>
      <w:suff w:val="nothing"/>
      <w:lvlText w:val="%1."/>
      <w:lvlJc w:val="left"/>
    </w:lvl>
  </w:abstractNum>
  <w:abstractNum w:abstractNumId="13">
    <w:nsid w:val="EDF2AA14"/>
    <w:multiLevelType w:val="singleLevel"/>
    <w:tmpl w:val="EDF2AA14"/>
    <w:lvl w:ilvl="0" w:tentative="0">
      <w:start w:val="1"/>
      <w:numFmt w:val="decimal"/>
      <w:lvlText w:val="%1"/>
      <w:lvlJc w:val="left"/>
      <w:pPr>
        <w:tabs>
          <w:tab w:val="left" w:pos="420"/>
        </w:tabs>
        <w:ind w:left="425" w:leftChars="0" w:hanging="425" w:firstLineChars="0"/>
      </w:pPr>
      <w:rPr>
        <w:rFonts w:hint="default"/>
      </w:rPr>
    </w:lvl>
  </w:abstractNum>
  <w:abstractNum w:abstractNumId="14">
    <w:nsid w:val="F0B0C374"/>
    <w:multiLevelType w:val="singleLevel"/>
    <w:tmpl w:val="F0B0C374"/>
    <w:lvl w:ilvl="0" w:tentative="0">
      <w:start w:val="1"/>
      <w:numFmt w:val="decimal"/>
      <w:lvlText w:val="%1"/>
      <w:lvlJc w:val="left"/>
      <w:pPr>
        <w:tabs>
          <w:tab w:val="left" w:pos="420"/>
        </w:tabs>
        <w:ind w:left="425" w:leftChars="0" w:hanging="425" w:firstLineChars="0"/>
      </w:pPr>
      <w:rPr>
        <w:rFonts w:hint="default"/>
      </w:rPr>
    </w:lvl>
  </w:abstractNum>
  <w:abstractNum w:abstractNumId="15">
    <w:nsid w:val="F384AA6E"/>
    <w:multiLevelType w:val="singleLevel"/>
    <w:tmpl w:val="F384AA6E"/>
    <w:lvl w:ilvl="0" w:tentative="0">
      <w:start w:val="1"/>
      <w:numFmt w:val="decimal"/>
      <w:lvlText w:val="%1"/>
      <w:lvlJc w:val="left"/>
      <w:pPr>
        <w:tabs>
          <w:tab w:val="left" w:pos="420"/>
        </w:tabs>
        <w:ind w:left="425" w:leftChars="0" w:hanging="425" w:firstLineChars="0"/>
      </w:pPr>
      <w:rPr>
        <w:rFonts w:hint="default"/>
      </w:rPr>
    </w:lvl>
  </w:abstractNum>
  <w:abstractNum w:abstractNumId="16">
    <w:nsid w:val="FB31E7AF"/>
    <w:multiLevelType w:val="singleLevel"/>
    <w:tmpl w:val="FB31E7AF"/>
    <w:lvl w:ilvl="0" w:tentative="0">
      <w:start w:val="1"/>
      <w:numFmt w:val="decimal"/>
      <w:lvlText w:val="%1"/>
      <w:lvlJc w:val="left"/>
      <w:pPr>
        <w:tabs>
          <w:tab w:val="left" w:pos="420"/>
        </w:tabs>
        <w:ind w:left="425" w:leftChars="0" w:hanging="425" w:firstLineChars="0"/>
      </w:pPr>
      <w:rPr>
        <w:rFonts w:hint="default"/>
      </w:rPr>
    </w:lvl>
  </w:abstractNum>
  <w:abstractNum w:abstractNumId="17">
    <w:nsid w:val="FEBE749F"/>
    <w:multiLevelType w:val="singleLevel"/>
    <w:tmpl w:val="FEBE749F"/>
    <w:lvl w:ilvl="0" w:tentative="0">
      <w:start w:val="2"/>
      <w:numFmt w:val="chineseCounting"/>
      <w:suff w:val="nothing"/>
      <w:lvlText w:val="（%1）"/>
      <w:lvlJc w:val="left"/>
      <w:rPr>
        <w:rFonts w:hint="eastAsia"/>
      </w:rPr>
    </w:lvl>
  </w:abstractNum>
  <w:abstractNum w:abstractNumId="18">
    <w:nsid w:val="FF1BCB9A"/>
    <w:multiLevelType w:val="singleLevel"/>
    <w:tmpl w:val="FF1BCB9A"/>
    <w:lvl w:ilvl="0" w:tentative="0">
      <w:start w:val="1"/>
      <w:numFmt w:val="decimal"/>
      <w:lvlText w:val="%1"/>
      <w:lvlJc w:val="left"/>
      <w:pPr>
        <w:tabs>
          <w:tab w:val="left" w:pos="420"/>
        </w:tabs>
        <w:ind w:left="425" w:leftChars="0" w:hanging="425" w:firstLineChars="0"/>
      </w:pPr>
      <w:rPr>
        <w:rFonts w:hint="default"/>
      </w:rPr>
    </w:lvl>
  </w:abstractNum>
  <w:abstractNum w:abstractNumId="19">
    <w:nsid w:val="FF3C24C5"/>
    <w:multiLevelType w:val="singleLevel"/>
    <w:tmpl w:val="FF3C24C5"/>
    <w:lvl w:ilvl="0" w:tentative="0">
      <w:start w:val="1"/>
      <w:numFmt w:val="decimal"/>
      <w:lvlText w:val="%1"/>
      <w:lvlJc w:val="left"/>
      <w:pPr>
        <w:tabs>
          <w:tab w:val="left" w:pos="420"/>
        </w:tabs>
        <w:ind w:left="425" w:leftChars="0" w:hanging="425" w:firstLineChars="0"/>
      </w:pPr>
      <w:rPr>
        <w:rFonts w:hint="default"/>
      </w:rPr>
    </w:lvl>
  </w:abstractNum>
  <w:abstractNum w:abstractNumId="20">
    <w:nsid w:val="134730D6"/>
    <w:multiLevelType w:val="singleLevel"/>
    <w:tmpl w:val="134730D6"/>
    <w:lvl w:ilvl="0" w:tentative="0">
      <w:start w:val="1"/>
      <w:numFmt w:val="decimal"/>
      <w:lvlText w:val="%1"/>
      <w:lvlJc w:val="left"/>
      <w:pPr>
        <w:tabs>
          <w:tab w:val="left" w:pos="420"/>
        </w:tabs>
        <w:ind w:left="425" w:leftChars="0" w:hanging="425" w:firstLineChars="0"/>
      </w:pPr>
      <w:rPr>
        <w:rFonts w:hint="default"/>
      </w:rPr>
    </w:lvl>
  </w:abstractNum>
  <w:abstractNum w:abstractNumId="21">
    <w:nsid w:val="19371DE5"/>
    <w:multiLevelType w:val="singleLevel"/>
    <w:tmpl w:val="19371DE5"/>
    <w:lvl w:ilvl="0" w:tentative="0">
      <w:start w:val="1"/>
      <w:numFmt w:val="decimal"/>
      <w:lvlText w:val="%1"/>
      <w:lvlJc w:val="left"/>
      <w:pPr>
        <w:tabs>
          <w:tab w:val="left" w:pos="420"/>
        </w:tabs>
        <w:ind w:left="425" w:leftChars="0" w:hanging="425" w:firstLineChars="0"/>
      </w:pPr>
      <w:rPr>
        <w:rFonts w:hint="default"/>
      </w:rPr>
    </w:lvl>
  </w:abstractNum>
  <w:abstractNum w:abstractNumId="22">
    <w:nsid w:val="240DAC82"/>
    <w:multiLevelType w:val="singleLevel"/>
    <w:tmpl w:val="240DAC82"/>
    <w:lvl w:ilvl="0" w:tentative="0">
      <w:start w:val="1"/>
      <w:numFmt w:val="decimal"/>
      <w:lvlText w:val="%1"/>
      <w:lvlJc w:val="left"/>
      <w:pPr>
        <w:tabs>
          <w:tab w:val="left" w:pos="420"/>
        </w:tabs>
        <w:ind w:left="425" w:leftChars="0" w:hanging="425" w:firstLineChars="0"/>
      </w:pPr>
      <w:rPr>
        <w:rFonts w:hint="default"/>
      </w:rPr>
    </w:lvl>
  </w:abstractNum>
  <w:abstractNum w:abstractNumId="23">
    <w:nsid w:val="329E6DAA"/>
    <w:multiLevelType w:val="singleLevel"/>
    <w:tmpl w:val="329E6DAA"/>
    <w:lvl w:ilvl="0" w:tentative="0">
      <w:start w:val="1"/>
      <w:numFmt w:val="decimal"/>
      <w:lvlText w:val="%1"/>
      <w:lvlJc w:val="left"/>
      <w:pPr>
        <w:tabs>
          <w:tab w:val="left" w:pos="420"/>
        </w:tabs>
        <w:ind w:left="425" w:leftChars="0" w:hanging="425" w:firstLineChars="0"/>
      </w:pPr>
      <w:rPr>
        <w:rFonts w:hint="default"/>
      </w:rPr>
    </w:lvl>
  </w:abstractNum>
  <w:abstractNum w:abstractNumId="24">
    <w:nsid w:val="3B5DBFB0"/>
    <w:multiLevelType w:val="singleLevel"/>
    <w:tmpl w:val="3B5DBFB0"/>
    <w:lvl w:ilvl="0" w:tentative="0">
      <w:start w:val="1"/>
      <w:numFmt w:val="decimal"/>
      <w:suff w:val="nothing"/>
      <w:lvlText w:val="%1."/>
      <w:lvlJc w:val="left"/>
    </w:lvl>
  </w:abstractNum>
  <w:abstractNum w:abstractNumId="25">
    <w:nsid w:val="50629969"/>
    <w:multiLevelType w:val="singleLevel"/>
    <w:tmpl w:val="50629969"/>
    <w:lvl w:ilvl="0" w:tentative="0">
      <w:start w:val="1"/>
      <w:numFmt w:val="decimal"/>
      <w:lvlText w:val="%1"/>
      <w:lvlJc w:val="left"/>
      <w:pPr>
        <w:tabs>
          <w:tab w:val="left" w:pos="420"/>
        </w:tabs>
        <w:ind w:left="425" w:leftChars="0" w:hanging="425" w:firstLineChars="0"/>
      </w:pPr>
      <w:rPr>
        <w:rFonts w:hint="default"/>
      </w:rPr>
    </w:lvl>
  </w:abstractNum>
  <w:abstractNum w:abstractNumId="26">
    <w:nsid w:val="5669B88F"/>
    <w:multiLevelType w:val="singleLevel"/>
    <w:tmpl w:val="5669B88F"/>
    <w:lvl w:ilvl="0" w:tentative="0">
      <w:start w:val="1"/>
      <w:numFmt w:val="decimal"/>
      <w:suff w:val="nothing"/>
      <w:lvlText w:val="%1."/>
      <w:lvlJc w:val="left"/>
      <w:pPr>
        <w:ind w:left="454" w:hanging="454"/>
      </w:pPr>
      <w:rPr>
        <w:rFonts w:hint="default"/>
      </w:rPr>
    </w:lvl>
  </w:abstractNum>
  <w:abstractNum w:abstractNumId="27">
    <w:nsid w:val="5701B7E3"/>
    <w:multiLevelType w:val="singleLevel"/>
    <w:tmpl w:val="5701B7E3"/>
    <w:lvl w:ilvl="0" w:tentative="0">
      <w:start w:val="1"/>
      <w:numFmt w:val="decimal"/>
      <w:suff w:val="nothing"/>
      <w:lvlText w:val="%1."/>
      <w:lvlJc w:val="left"/>
      <w:pPr>
        <w:ind w:left="0" w:firstLine="0"/>
      </w:pPr>
      <w:rPr>
        <w:rFonts w:hint="default"/>
      </w:rPr>
    </w:lvl>
  </w:abstractNum>
  <w:abstractNum w:abstractNumId="28">
    <w:nsid w:val="5714FB7C"/>
    <w:multiLevelType w:val="singleLevel"/>
    <w:tmpl w:val="5714FB7C"/>
    <w:lvl w:ilvl="0" w:tentative="0">
      <w:start w:val="1"/>
      <w:numFmt w:val="decimal"/>
      <w:lvlText w:val="%1"/>
      <w:lvlJc w:val="left"/>
      <w:pPr>
        <w:tabs>
          <w:tab w:val="left" w:pos="420"/>
        </w:tabs>
        <w:ind w:left="425" w:leftChars="0" w:hanging="425" w:firstLineChars="0"/>
      </w:pPr>
      <w:rPr>
        <w:rFonts w:hint="default"/>
      </w:rPr>
    </w:lvl>
  </w:abstractNum>
  <w:abstractNum w:abstractNumId="29">
    <w:nsid w:val="5B0F2E5F"/>
    <w:multiLevelType w:val="singleLevel"/>
    <w:tmpl w:val="5B0F2E5F"/>
    <w:lvl w:ilvl="0" w:tentative="0">
      <w:start w:val="1"/>
      <w:numFmt w:val="decimal"/>
      <w:lvlText w:val="%1."/>
      <w:lvlJc w:val="left"/>
      <w:pPr>
        <w:tabs>
          <w:tab w:val="left" w:pos="312"/>
        </w:tabs>
      </w:pPr>
    </w:lvl>
  </w:abstractNum>
  <w:abstractNum w:abstractNumId="30">
    <w:nsid w:val="71354372"/>
    <w:multiLevelType w:val="singleLevel"/>
    <w:tmpl w:val="71354372"/>
    <w:lvl w:ilvl="0" w:tentative="0">
      <w:start w:val="1"/>
      <w:numFmt w:val="decimal"/>
      <w:lvlText w:val="%1."/>
      <w:lvlJc w:val="left"/>
      <w:pPr>
        <w:tabs>
          <w:tab w:val="left" w:pos="312"/>
        </w:tabs>
      </w:pPr>
      <w:rPr>
        <w:rFonts w:hint="default"/>
      </w:rPr>
    </w:lvl>
  </w:abstractNum>
  <w:abstractNum w:abstractNumId="31">
    <w:nsid w:val="78042DC0"/>
    <w:multiLevelType w:val="singleLevel"/>
    <w:tmpl w:val="78042DC0"/>
    <w:lvl w:ilvl="0" w:tentative="0">
      <w:start w:val="1"/>
      <w:numFmt w:val="decimal"/>
      <w:suff w:val="nothing"/>
      <w:lvlText w:val="%1."/>
      <w:lvlJc w:val="left"/>
    </w:lvl>
  </w:abstractNum>
  <w:abstractNum w:abstractNumId="32">
    <w:nsid w:val="79F504AE"/>
    <w:multiLevelType w:val="singleLevel"/>
    <w:tmpl w:val="79F504AE"/>
    <w:lvl w:ilvl="0" w:tentative="0">
      <w:start w:val="1"/>
      <w:numFmt w:val="decimal"/>
      <w:lvlText w:val="%1."/>
      <w:lvlJc w:val="left"/>
      <w:pPr>
        <w:tabs>
          <w:tab w:val="left" w:pos="312"/>
        </w:tabs>
      </w:pPr>
    </w:lvl>
  </w:abstractNum>
  <w:abstractNum w:abstractNumId="33">
    <w:nsid w:val="7B973DE2"/>
    <w:multiLevelType w:val="singleLevel"/>
    <w:tmpl w:val="7B973DE2"/>
    <w:lvl w:ilvl="0" w:tentative="0">
      <w:start w:val="1"/>
      <w:numFmt w:val="decimal"/>
      <w:lvlText w:val="%1"/>
      <w:lvlJc w:val="left"/>
      <w:pPr>
        <w:tabs>
          <w:tab w:val="left" w:pos="420"/>
        </w:tabs>
        <w:ind w:left="425" w:leftChars="0" w:hanging="425" w:firstLineChars="0"/>
      </w:pPr>
      <w:rPr>
        <w:rFonts w:hint="default"/>
      </w:rPr>
    </w:lvl>
  </w:abstractNum>
  <w:abstractNum w:abstractNumId="34">
    <w:nsid w:val="7BFB1DBB"/>
    <w:multiLevelType w:val="singleLevel"/>
    <w:tmpl w:val="7BFB1DBB"/>
    <w:lvl w:ilvl="0" w:tentative="0">
      <w:start w:val="1"/>
      <w:numFmt w:val="decimal"/>
      <w:lvlText w:val="%1"/>
      <w:lvlJc w:val="left"/>
      <w:pPr>
        <w:tabs>
          <w:tab w:val="left" w:pos="420"/>
        </w:tabs>
        <w:ind w:left="425" w:leftChars="0" w:hanging="425" w:firstLineChars="0"/>
      </w:pPr>
      <w:rPr>
        <w:rFonts w:hint="default"/>
      </w:rPr>
    </w:lvl>
  </w:abstractNum>
  <w:abstractNum w:abstractNumId="35">
    <w:nsid w:val="7D335A4B"/>
    <w:multiLevelType w:val="singleLevel"/>
    <w:tmpl w:val="7D335A4B"/>
    <w:lvl w:ilvl="0" w:tentative="0">
      <w:start w:val="1"/>
      <w:numFmt w:val="decimal"/>
      <w:lvlText w:val="%1"/>
      <w:lvlJc w:val="left"/>
      <w:pPr>
        <w:tabs>
          <w:tab w:val="left" w:pos="420"/>
        </w:tabs>
        <w:ind w:left="425" w:leftChars="0" w:hanging="425" w:firstLineChars="0"/>
      </w:pPr>
      <w:rPr>
        <w:rFonts w:hint="default"/>
      </w:rPr>
    </w:lvl>
  </w:abstractNum>
  <w:num w:numId="1">
    <w:abstractNumId w:val="8"/>
  </w:num>
  <w:num w:numId="2">
    <w:abstractNumId w:val="17"/>
  </w:num>
  <w:num w:numId="3">
    <w:abstractNumId w:val="26"/>
  </w:num>
  <w:num w:numId="4">
    <w:abstractNumId w:val="2"/>
  </w:num>
  <w:num w:numId="5">
    <w:abstractNumId w:val="3"/>
  </w:num>
  <w:num w:numId="6">
    <w:abstractNumId w:val="0"/>
  </w:num>
  <w:num w:numId="7">
    <w:abstractNumId w:val="4"/>
  </w:num>
  <w:num w:numId="8">
    <w:abstractNumId w:val="6"/>
  </w:num>
  <w:num w:numId="9">
    <w:abstractNumId w:val="12"/>
  </w:num>
  <w:num w:numId="10">
    <w:abstractNumId w:val="7"/>
  </w:num>
  <w:num w:numId="11">
    <w:abstractNumId w:val="24"/>
  </w:num>
  <w:num w:numId="12">
    <w:abstractNumId w:val="27"/>
  </w:num>
  <w:num w:numId="13">
    <w:abstractNumId w:val="5"/>
  </w:num>
  <w:num w:numId="14">
    <w:abstractNumId w:val="31"/>
  </w:num>
  <w:num w:numId="15">
    <w:abstractNumId w:val="32"/>
  </w:num>
  <w:num w:numId="16">
    <w:abstractNumId w:val="30"/>
  </w:num>
  <w:num w:numId="17">
    <w:abstractNumId w:val="18"/>
  </w:num>
  <w:num w:numId="18">
    <w:abstractNumId w:val="35"/>
  </w:num>
  <w:num w:numId="19">
    <w:abstractNumId w:val="15"/>
  </w:num>
  <w:num w:numId="20">
    <w:abstractNumId w:val="16"/>
  </w:num>
  <w:num w:numId="21">
    <w:abstractNumId w:val="21"/>
  </w:num>
  <w:num w:numId="22">
    <w:abstractNumId w:val="34"/>
  </w:num>
  <w:num w:numId="23">
    <w:abstractNumId w:val="14"/>
  </w:num>
  <w:num w:numId="24">
    <w:abstractNumId w:val="22"/>
  </w:num>
  <w:num w:numId="25">
    <w:abstractNumId w:val="28"/>
  </w:num>
  <w:num w:numId="26">
    <w:abstractNumId w:val="33"/>
  </w:num>
  <w:num w:numId="27">
    <w:abstractNumId w:val="25"/>
  </w:num>
  <w:num w:numId="28">
    <w:abstractNumId w:val="23"/>
  </w:num>
  <w:num w:numId="29">
    <w:abstractNumId w:val="10"/>
  </w:num>
  <w:num w:numId="30">
    <w:abstractNumId w:val="13"/>
  </w:num>
  <w:num w:numId="31">
    <w:abstractNumId w:val="11"/>
  </w:num>
  <w:num w:numId="32">
    <w:abstractNumId w:val="9"/>
  </w:num>
  <w:num w:numId="33">
    <w:abstractNumId w:val="1"/>
  </w:num>
  <w:num w:numId="34">
    <w:abstractNumId w:val="20"/>
  </w:num>
  <w:num w:numId="35">
    <w:abstractNumId w:val="19"/>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kZTNhNzE1M2IwNDAyNWJkNjNjNGIxM2Q2OGJiNjEifQ=="/>
  </w:docVars>
  <w:rsids>
    <w:rsidRoot w:val="1F0D1866"/>
    <w:rsid w:val="00426F48"/>
    <w:rsid w:val="0061134F"/>
    <w:rsid w:val="0087474E"/>
    <w:rsid w:val="008E5691"/>
    <w:rsid w:val="00BF373C"/>
    <w:rsid w:val="00FC2C98"/>
    <w:rsid w:val="0100356D"/>
    <w:rsid w:val="01E71F24"/>
    <w:rsid w:val="033BDA6F"/>
    <w:rsid w:val="079963B3"/>
    <w:rsid w:val="0CEEF1B9"/>
    <w:rsid w:val="0FFF7E27"/>
    <w:rsid w:val="10A50CDB"/>
    <w:rsid w:val="131C6527"/>
    <w:rsid w:val="153A7168"/>
    <w:rsid w:val="1DB270A6"/>
    <w:rsid w:val="1F0D1866"/>
    <w:rsid w:val="1FDFF39B"/>
    <w:rsid w:val="1FF91048"/>
    <w:rsid w:val="281838D0"/>
    <w:rsid w:val="28F57B83"/>
    <w:rsid w:val="29BD6D4A"/>
    <w:rsid w:val="2A04449E"/>
    <w:rsid w:val="2AAC3D95"/>
    <w:rsid w:val="2EA164B0"/>
    <w:rsid w:val="2EFE627C"/>
    <w:rsid w:val="373F97A3"/>
    <w:rsid w:val="37EDBD8A"/>
    <w:rsid w:val="37EFC7FF"/>
    <w:rsid w:val="397E1CB1"/>
    <w:rsid w:val="3BFF258B"/>
    <w:rsid w:val="3CFE4B35"/>
    <w:rsid w:val="3DFCD565"/>
    <w:rsid w:val="3EBCC634"/>
    <w:rsid w:val="3F5FE1F1"/>
    <w:rsid w:val="3FF3BD65"/>
    <w:rsid w:val="4035072C"/>
    <w:rsid w:val="493014B6"/>
    <w:rsid w:val="4C8BCDA1"/>
    <w:rsid w:val="4CCA7AA5"/>
    <w:rsid w:val="4E5B9B02"/>
    <w:rsid w:val="4EDF3058"/>
    <w:rsid w:val="51B534F6"/>
    <w:rsid w:val="53A56748"/>
    <w:rsid w:val="53FD4B22"/>
    <w:rsid w:val="5C6B46AF"/>
    <w:rsid w:val="5CEE8B17"/>
    <w:rsid w:val="5EEB6968"/>
    <w:rsid w:val="5EFFA964"/>
    <w:rsid w:val="5EFFF675"/>
    <w:rsid w:val="5FFF1F31"/>
    <w:rsid w:val="60E450DC"/>
    <w:rsid w:val="63D75318"/>
    <w:rsid w:val="63FD2077"/>
    <w:rsid w:val="654A545A"/>
    <w:rsid w:val="66EF5FDA"/>
    <w:rsid w:val="692E957D"/>
    <w:rsid w:val="6AEF8A57"/>
    <w:rsid w:val="6B3DE538"/>
    <w:rsid w:val="6DFB8F8E"/>
    <w:rsid w:val="6EFBF8DA"/>
    <w:rsid w:val="6F5F6DAE"/>
    <w:rsid w:val="6FEF9658"/>
    <w:rsid w:val="754DC770"/>
    <w:rsid w:val="75FD1CCA"/>
    <w:rsid w:val="77FF85DE"/>
    <w:rsid w:val="79ABCDBC"/>
    <w:rsid w:val="7A5FFBEA"/>
    <w:rsid w:val="7BCFEF56"/>
    <w:rsid w:val="7BFF94DA"/>
    <w:rsid w:val="7C366782"/>
    <w:rsid w:val="7D7730EA"/>
    <w:rsid w:val="7D961EF9"/>
    <w:rsid w:val="7D9D24B8"/>
    <w:rsid w:val="7DA27010"/>
    <w:rsid w:val="7DDFB233"/>
    <w:rsid w:val="7DFCBB6F"/>
    <w:rsid w:val="7E4EFB68"/>
    <w:rsid w:val="7E5F8C3D"/>
    <w:rsid w:val="7EDE3E0F"/>
    <w:rsid w:val="7EFED000"/>
    <w:rsid w:val="7F2E3DFC"/>
    <w:rsid w:val="7F3F0384"/>
    <w:rsid w:val="7F5DD5F5"/>
    <w:rsid w:val="7F6A0A00"/>
    <w:rsid w:val="7FBF852A"/>
    <w:rsid w:val="7FBFF8AB"/>
    <w:rsid w:val="7FFEBC23"/>
    <w:rsid w:val="969B7EE0"/>
    <w:rsid w:val="9FEF6A77"/>
    <w:rsid w:val="9FFBEC55"/>
    <w:rsid w:val="ABA79FA6"/>
    <w:rsid w:val="AFED6F18"/>
    <w:rsid w:val="B3F79ECA"/>
    <w:rsid w:val="B52E1261"/>
    <w:rsid w:val="B5FF14CC"/>
    <w:rsid w:val="B93FE83A"/>
    <w:rsid w:val="BAF96492"/>
    <w:rsid w:val="BB77479A"/>
    <w:rsid w:val="BCEF17D2"/>
    <w:rsid w:val="BEFBA80D"/>
    <w:rsid w:val="BF854202"/>
    <w:rsid w:val="BFD7974A"/>
    <w:rsid w:val="BFFF1223"/>
    <w:rsid w:val="C7CE53E1"/>
    <w:rsid w:val="CBF75631"/>
    <w:rsid w:val="CF8E090E"/>
    <w:rsid w:val="D27D4479"/>
    <w:rsid w:val="D3AACA30"/>
    <w:rsid w:val="D63F91F7"/>
    <w:rsid w:val="D7D529F0"/>
    <w:rsid w:val="DCEE6DED"/>
    <w:rsid w:val="DEEFE611"/>
    <w:rsid w:val="DFEF8A1D"/>
    <w:rsid w:val="DFFEED17"/>
    <w:rsid w:val="E8FB0BE2"/>
    <w:rsid w:val="E9EFD06C"/>
    <w:rsid w:val="EF7F3895"/>
    <w:rsid w:val="EFED944F"/>
    <w:rsid w:val="F2C2CCCD"/>
    <w:rsid w:val="F2FA0D9C"/>
    <w:rsid w:val="F66DD5B3"/>
    <w:rsid w:val="F7D7B038"/>
    <w:rsid w:val="F7EE5A4F"/>
    <w:rsid w:val="F7F140BC"/>
    <w:rsid w:val="F9BCD9A6"/>
    <w:rsid w:val="FAF10C51"/>
    <w:rsid w:val="FBFB318D"/>
    <w:rsid w:val="FBFFC109"/>
    <w:rsid w:val="FDCA685A"/>
    <w:rsid w:val="FDE760CC"/>
    <w:rsid w:val="FDEF0A7D"/>
    <w:rsid w:val="FDFDD30F"/>
    <w:rsid w:val="FE36450F"/>
    <w:rsid w:val="FEBFD555"/>
    <w:rsid w:val="FEF75FCA"/>
    <w:rsid w:val="FEFAD18B"/>
    <w:rsid w:val="FF72F698"/>
    <w:rsid w:val="FF798B52"/>
    <w:rsid w:val="FFDF91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kern w:val="44"/>
      <w:sz w:val="44"/>
      <w:szCs w:val="44"/>
    </w:rPr>
  </w:style>
  <w:style w:type="character" w:default="1" w:styleId="17">
    <w:name w:val="Default Paragraph Font"/>
    <w:semiHidden/>
    <w:unhideWhenUsed/>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3"/>
    <w:basedOn w:val="1"/>
    <w:autoRedefine/>
    <w:qFormat/>
    <w:uiPriority w:val="99"/>
    <w:pPr>
      <w:spacing w:after="120"/>
    </w:pPr>
    <w:rPr>
      <w:sz w:val="16"/>
      <w:szCs w:val="16"/>
    </w:rPr>
  </w:style>
  <w:style w:type="paragraph" w:styleId="5">
    <w:name w:val="Body Text"/>
    <w:basedOn w:val="1"/>
    <w:next w:val="1"/>
    <w:autoRedefine/>
    <w:qFormat/>
    <w:uiPriority w:val="0"/>
  </w:style>
  <w:style w:type="paragraph" w:styleId="6">
    <w:name w:val="Body Text Indent"/>
    <w:basedOn w:val="1"/>
    <w:next w:val="7"/>
    <w:autoRedefine/>
    <w:qFormat/>
    <w:uiPriority w:val="0"/>
    <w:pPr>
      <w:spacing w:line="360" w:lineRule="auto"/>
      <w:ind w:firstLine="570"/>
    </w:pPr>
    <w:rPr>
      <w:sz w:val="24"/>
    </w:rPr>
  </w:style>
  <w:style w:type="paragraph" w:styleId="7">
    <w:name w:val="envelope return"/>
    <w:basedOn w:val="1"/>
    <w:autoRedefine/>
    <w:qFormat/>
    <w:uiPriority w:val="0"/>
    <w:pPr>
      <w:snapToGrid w:val="0"/>
    </w:pPr>
    <w:rPr>
      <w:rFonts w:ascii="Arial" w:hAnsi="Arial"/>
    </w:rPr>
  </w:style>
  <w:style w:type="paragraph" w:styleId="8">
    <w:name w:val="Plain Text"/>
    <w:basedOn w:val="1"/>
    <w:next w:val="9"/>
    <w:autoRedefine/>
    <w:qFormat/>
    <w:uiPriority w:val="0"/>
    <w:pPr>
      <w:jc w:val="center"/>
      <w:pPrChange w:id="0" w:author="acer" w:date="2024-05-20T09:06:00Z">
        <w:pPr>
          <w:widowControl w:val="0"/>
          <w:jc w:val="both"/>
        </w:pPr>
      </w:pPrChange>
    </w:pPr>
    <w:rPr>
      <w:rFonts w:ascii="宋体" w:hAnsi="Courier New"/>
      <w:rPrChange w:id="1" w:author="acer" w:date="2024-05-20T09:06:00Z">
        <w:rPr>
          <w:rFonts w:ascii="宋体" w:hAnsi="Courier New" w:eastAsia="仿宋_GB2312"/>
          <w:kern w:val="2"/>
          <w:sz w:val="32"/>
          <w:szCs w:val="24"/>
          <w:lang w:val="en-US" w:eastAsia="zh-CN" w:bidi="ar-SA"/>
        </w:rPr>
      </w:rPrChange>
    </w:rPr>
  </w:style>
  <w:style w:type="paragraph" w:styleId="9">
    <w:name w:val="index 9"/>
    <w:basedOn w:val="1"/>
    <w:next w:val="1"/>
    <w:autoRedefine/>
    <w:unhideWhenUsed/>
    <w:qFormat/>
    <w:uiPriority w:val="99"/>
    <w:pPr>
      <w:ind w:left="1600" w:leftChars="1600"/>
    </w:pPr>
  </w:style>
  <w:style w:type="paragraph" w:styleId="10">
    <w:name w:val="Body Text Indent 2"/>
    <w:basedOn w:val="1"/>
    <w:autoRedefine/>
    <w:qFormat/>
    <w:uiPriority w:val="0"/>
    <w:pPr>
      <w:spacing w:line="360" w:lineRule="auto"/>
      <w:ind w:left="1080" w:hanging="599"/>
      <w:textAlignment w:val="bottom"/>
    </w:pPr>
    <w:rPr>
      <w:rFonts w:hAnsi="宋体"/>
      <w:color w:val="000000"/>
      <w:sz w:val="24"/>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next w:val="5"/>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2"/>
    <w:basedOn w:val="1"/>
    <w:next w:val="1"/>
    <w:autoRedefine/>
    <w:qFormat/>
    <w:uiPriority w:val="39"/>
    <w:pPr>
      <w:ind w:left="210"/>
      <w:jc w:val="left"/>
    </w:pPr>
    <w:rPr>
      <w:rFonts w:ascii="Calibri" w:hAnsi="Calibri"/>
      <w:smallCaps/>
      <w:sz w:val="20"/>
      <w:szCs w:val="20"/>
    </w:rPr>
  </w:style>
  <w:style w:type="paragraph" w:styleId="14">
    <w:name w:val="Body Text First Indent"/>
    <w:basedOn w:val="5"/>
    <w:next w:val="15"/>
    <w:autoRedefine/>
    <w:unhideWhenUsed/>
    <w:qFormat/>
    <w:uiPriority w:val="99"/>
    <w:pPr>
      <w:tabs>
        <w:tab w:val="left" w:pos="567"/>
      </w:tabs>
      <w:spacing w:after="120"/>
      <w:ind w:firstLine="420" w:firstLineChars="100"/>
    </w:pPr>
  </w:style>
  <w:style w:type="paragraph" w:styleId="15">
    <w:name w:val="Body Text First Indent 2"/>
    <w:basedOn w:val="6"/>
    <w:next w:val="1"/>
    <w:autoRedefine/>
    <w:qFormat/>
    <w:uiPriority w:val="0"/>
    <w:pPr>
      <w:spacing w:after="120" w:line="480" w:lineRule="exact"/>
      <w:ind w:left="420" w:leftChars="200" w:firstLine="420" w:firstLineChars="200"/>
    </w:pPr>
    <w:rPr>
      <w:szCs w:val="20"/>
    </w:rPr>
  </w:style>
  <w:style w:type="character" w:styleId="18">
    <w:name w:val="Hyperlink"/>
    <w:basedOn w:val="17"/>
    <w:autoRedefine/>
    <w:qFormat/>
    <w:uiPriority w:val="0"/>
    <w:rPr>
      <w:color w:val="0000FF"/>
      <w:u w:val="single"/>
    </w:rPr>
  </w:style>
  <w:style w:type="character" w:styleId="19">
    <w:name w:val="annotation reference"/>
    <w:basedOn w:val="17"/>
    <w:autoRedefine/>
    <w:qFormat/>
    <w:uiPriority w:val="0"/>
    <w:rPr>
      <w:sz w:val="21"/>
      <w:szCs w:val="21"/>
    </w:rPr>
  </w:style>
  <w:style w:type="paragraph" w:customStyle="1" w:styleId="20">
    <w:name w:val="正文（缩进）"/>
    <w:basedOn w:val="1"/>
    <w:autoRedefine/>
    <w:qFormat/>
    <w:uiPriority w:val="0"/>
    <w:pPr>
      <w:spacing w:before="50" w:after="50"/>
      <w:ind w:firstLine="200" w:firstLineChars="200"/>
    </w:pPr>
    <w:rPr>
      <w:szCs w:val="22"/>
    </w:rPr>
  </w:style>
  <w:style w:type="paragraph" w:customStyle="1" w:styleId="21">
    <w:name w:val="Normal Indent1"/>
    <w:basedOn w:val="1"/>
    <w:autoRedefine/>
    <w:qFormat/>
    <w:uiPriority w:val="0"/>
    <w:pPr>
      <w:adjustRightInd w:val="0"/>
      <w:spacing w:line="360" w:lineRule="atLeast"/>
      <w:ind w:firstLine="420"/>
      <w:textAlignment w:val="baseline"/>
    </w:pPr>
    <w:rPr>
      <w:rFonts w:ascii="Calibri" w:hAnsi="Calibri"/>
      <w:sz w:val="25"/>
      <w:szCs w:val="20"/>
    </w:rPr>
  </w:style>
  <w:style w:type="character" w:customStyle="1" w:styleId="22">
    <w:name w:val="font51"/>
    <w:basedOn w:val="17"/>
    <w:autoRedefine/>
    <w:qFormat/>
    <w:uiPriority w:val="0"/>
    <w:rPr>
      <w:rFonts w:hint="eastAsia" w:ascii="宋体" w:hAnsi="宋体" w:eastAsia="宋体" w:cs="宋体"/>
      <w:color w:val="000000"/>
      <w:sz w:val="20"/>
      <w:szCs w:val="20"/>
      <w:u w:val="none"/>
    </w:rPr>
  </w:style>
  <w:style w:type="character" w:customStyle="1" w:styleId="23">
    <w:name w:val="font41"/>
    <w:basedOn w:val="17"/>
    <w:autoRedefine/>
    <w:qFormat/>
    <w:uiPriority w:val="0"/>
    <w:rPr>
      <w:rFonts w:hint="eastAsia" w:ascii="宋体" w:hAnsi="宋体" w:eastAsia="宋体" w:cs="宋体"/>
      <w:color w:val="FF0000"/>
      <w:sz w:val="20"/>
      <w:szCs w:val="20"/>
      <w:u w:val="none"/>
    </w:rPr>
  </w:style>
  <w:style w:type="character" w:customStyle="1" w:styleId="24">
    <w:name w:val="font71"/>
    <w:basedOn w:val="17"/>
    <w:autoRedefine/>
    <w:qFormat/>
    <w:uiPriority w:val="0"/>
    <w:rPr>
      <w:rFonts w:hint="eastAsia" w:ascii="宋体" w:hAnsi="宋体" w:eastAsia="宋体" w:cs="宋体"/>
      <w:color w:val="000000"/>
      <w:sz w:val="20"/>
      <w:szCs w:val="20"/>
      <w:u w:val="none"/>
    </w:rPr>
  </w:style>
  <w:style w:type="character" w:customStyle="1" w:styleId="25">
    <w:name w:val="font81"/>
    <w:basedOn w:val="17"/>
    <w:autoRedefine/>
    <w:qFormat/>
    <w:uiPriority w:val="0"/>
    <w:rPr>
      <w:rFonts w:hint="eastAsia" w:ascii="宋体" w:hAnsi="宋体" w:eastAsia="宋体" w:cs="宋体"/>
      <w:color w:val="FF0000"/>
      <w:sz w:val="20"/>
      <w:szCs w:val="20"/>
      <w:u w:val="none"/>
    </w:rPr>
  </w:style>
  <w:style w:type="character" w:customStyle="1" w:styleId="26">
    <w:name w:val="font61"/>
    <w:basedOn w:val="17"/>
    <w:autoRedefine/>
    <w:qFormat/>
    <w:uiPriority w:val="0"/>
    <w:rPr>
      <w:rFonts w:hint="eastAsia" w:ascii="宋体" w:hAnsi="宋体" w:eastAsia="宋体" w:cs="宋体"/>
      <w:color w:val="000000"/>
      <w:sz w:val="20"/>
      <w:szCs w:val="20"/>
      <w:u w:val="none"/>
    </w:rPr>
  </w:style>
  <w:style w:type="character" w:customStyle="1" w:styleId="27">
    <w:name w:val="font101"/>
    <w:basedOn w:val="17"/>
    <w:autoRedefine/>
    <w:qFormat/>
    <w:uiPriority w:val="0"/>
    <w:rPr>
      <w:rFonts w:hint="eastAsia" w:ascii="宋体" w:hAnsi="宋体" w:eastAsia="宋体" w:cs="宋体"/>
      <w:color w:val="000000"/>
      <w:sz w:val="20"/>
      <w:szCs w:val="20"/>
      <w:u w:val="none"/>
    </w:rPr>
  </w:style>
  <w:style w:type="character" w:customStyle="1" w:styleId="28">
    <w:name w:val="font131"/>
    <w:basedOn w:val="17"/>
    <w:autoRedefine/>
    <w:qFormat/>
    <w:uiPriority w:val="0"/>
    <w:rPr>
      <w:rFonts w:hint="eastAsia" w:ascii="宋体" w:hAnsi="宋体" w:eastAsia="宋体" w:cs="宋体"/>
      <w:b/>
      <w:color w:val="000000"/>
      <w:sz w:val="20"/>
      <w:szCs w:val="20"/>
      <w:u w:val="none"/>
    </w:rPr>
  </w:style>
  <w:style w:type="character" w:customStyle="1" w:styleId="29">
    <w:name w:val="font01"/>
    <w:basedOn w:val="17"/>
    <w:autoRedefine/>
    <w:qFormat/>
    <w:uiPriority w:val="0"/>
    <w:rPr>
      <w:rFonts w:hint="eastAsia" w:ascii="宋体" w:hAnsi="宋体" w:eastAsia="宋体" w:cs="宋体"/>
      <w:color w:val="000000"/>
      <w:sz w:val="20"/>
      <w:szCs w:val="20"/>
      <w:u w:val="none"/>
    </w:rPr>
  </w:style>
  <w:style w:type="character" w:customStyle="1" w:styleId="30">
    <w:name w:val="font21"/>
    <w:basedOn w:val="17"/>
    <w:autoRedefine/>
    <w:qFormat/>
    <w:uiPriority w:val="0"/>
    <w:rPr>
      <w:rFonts w:hint="eastAsia" w:ascii="宋体" w:hAnsi="宋体" w:eastAsia="宋体" w:cs="宋体"/>
      <w:color w:val="000000"/>
      <w:sz w:val="20"/>
      <w:szCs w:val="20"/>
      <w:u w:val="none"/>
    </w:rPr>
  </w:style>
  <w:style w:type="character" w:customStyle="1" w:styleId="31">
    <w:name w:val="font11"/>
    <w:basedOn w:val="17"/>
    <w:autoRedefine/>
    <w:qFormat/>
    <w:uiPriority w:val="0"/>
    <w:rPr>
      <w:rFonts w:hint="default" w:ascii="等线" w:hAnsi="等线" w:eastAsia="等线" w:cs="等线"/>
      <w:color w:val="000000"/>
      <w:sz w:val="20"/>
      <w:szCs w:val="20"/>
      <w:u w:val="none"/>
    </w:rPr>
  </w:style>
  <w:style w:type="character" w:customStyle="1" w:styleId="32">
    <w:name w:val="font31"/>
    <w:basedOn w:val="17"/>
    <w:autoRedefine/>
    <w:qFormat/>
    <w:uiPriority w:val="0"/>
    <w:rPr>
      <w:rFonts w:hint="eastAsia" w:ascii="宋体" w:hAnsi="宋体" w:eastAsia="宋体" w:cs="宋体"/>
      <w:color w:val="000000"/>
      <w:sz w:val="20"/>
      <w:szCs w:val="20"/>
      <w:u w:val="none"/>
    </w:rPr>
  </w:style>
  <w:style w:type="character" w:customStyle="1" w:styleId="33">
    <w:name w:val="font122"/>
    <w:basedOn w:val="17"/>
    <w:autoRedefine/>
    <w:qFormat/>
    <w:uiPriority w:val="0"/>
    <w:rPr>
      <w:rFonts w:hint="eastAsia" w:ascii="宋体" w:hAnsi="宋体" w:eastAsia="宋体" w:cs="宋体"/>
      <w:color w:val="FF0000"/>
      <w:sz w:val="20"/>
      <w:szCs w:val="20"/>
      <w:u w:val="none"/>
    </w:rPr>
  </w:style>
  <w:style w:type="character" w:customStyle="1" w:styleId="34">
    <w:name w:val="font12"/>
    <w:basedOn w:val="17"/>
    <w:autoRedefine/>
    <w:qFormat/>
    <w:uiPriority w:val="0"/>
    <w:rPr>
      <w:rFonts w:hint="eastAsia" w:ascii="宋体" w:hAnsi="宋体" w:eastAsia="宋体" w:cs="宋体"/>
      <w:color w:val="FF0000"/>
      <w:sz w:val="20"/>
      <w:szCs w:val="20"/>
      <w:u w:val="none"/>
    </w:rPr>
  </w:style>
  <w:style w:type="paragraph" w:customStyle="1" w:styleId="35">
    <w:name w:val="Revision"/>
    <w:autoRedefine/>
    <w:hidden/>
    <w:unhideWhenUsed/>
    <w:qFormat/>
    <w:uiPriority w:val="99"/>
    <w:rPr>
      <w:rFonts w:ascii="Times New Roman" w:hAnsi="Times New Roman"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74</Pages>
  <Words>11841</Words>
  <Characters>67498</Characters>
  <Lines>562</Lines>
  <Paragraphs>158</Paragraphs>
  <TotalTime>25</TotalTime>
  <ScaleCrop>false</ScaleCrop>
  <LinksUpToDate>false</LinksUpToDate>
  <CharactersWithSpaces>79181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2024-01-26T19:28:00Z</dcterms:created>
  <dc:creator>国浩律师</dc:creator>
  <cp:lastModifiedBy>韩潇阅</cp:lastModifiedBy>
  <dcterms:modified xsi:type="dcterms:W3CDTF">2024-05-28T02:39:28Z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F251723F11C946C1BA1AF00B37B2DB1A_13</vt:lpwstr>
  </property>
</Properties>
</file>