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4" w:line="360" w:lineRule="auto"/>
        <w:jc w:val="center"/>
        <w:outlineLvl w:val="0"/>
        <w:rPr>
          <w:rFonts w:hint="default" w:ascii="Times New Roman" w:hAnsi="Times New Roman" w:eastAsia="宋体" w:cs="Times New Roman"/>
          <w:sz w:val="72"/>
          <w:szCs w:val="72"/>
          <w:lang w:eastAsia="zh-CN"/>
        </w:rPr>
      </w:pPr>
      <w:r>
        <w:rPr>
          <w:rFonts w:hint="default" w:ascii="Times New Roman" w:hAnsi="Times New Roman" w:eastAsia="宋体" w:cs="Times New Roman"/>
          <w:b/>
          <w:bCs/>
          <w:spacing w:val="-3"/>
          <w:sz w:val="72"/>
          <w:szCs w:val="72"/>
        </w:rPr>
        <w:t>评审标准</w:t>
      </w:r>
      <w:r>
        <w:rPr>
          <w:rFonts w:hint="default" w:ascii="Times New Roman" w:hAnsi="Times New Roman" w:eastAsia="宋体" w:cs="Times New Roman"/>
          <w:b/>
          <w:bCs/>
          <w:spacing w:val="-3"/>
          <w:sz w:val="72"/>
          <w:szCs w:val="72"/>
          <w:lang w:eastAsia="zh-CN"/>
        </w:rPr>
        <w:t>（</w:t>
      </w:r>
      <w:r>
        <w:rPr>
          <w:rFonts w:hint="default" w:ascii="Times New Roman" w:hAnsi="Times New Roman" w:eastAsia="宋体" w:cs="Times New Roman"/>
          <w:b/>
          <w:bCs/>
          <w:spacing w:val="-3"/>
          <w:sz w:val="72"/>
          <w:szCs w:val="72"/>
          <w:lang w:val="en-US" w:eastAsia="zh-CN"/>
        </w:rPr>
        <w:t>征求意见稿</w:t>
      </w:r>
      <w:r>
        <w:rPr>
          <w:rFonts w:hint="default" w:ascii="Times New Roman" w:hAnsi="Times New Roman" w:eastAsia="宋体" w:cs="Times New Roman"/>
          <w:b/>
          <w:bCs/>
          <w:spacing w:val="-3"/>
          <w:sz w:val="72"/>
          <w:szCs w:val="72"/>
          <w:lang w:eastAsia="zh-CN"/>
        </w:rPr>
        <w:t>）</w:t>
      </w:r>
    </w:p>
    <w:p>
      <w:pPr>
        <w:spacing w:before="32" w:line="360" w:lineRule="auto"/>
        <w:rPr>
          <w:rFonts w:hint="default" w:ascii="Times New Roman" w:hAnsi="Times New Roman" w:cs="Times New Roman"/>
        </w:rPr>
      </w:pPr>
    </w:p>
    <w:tbl>
      <w:tblPr>
        <w:tblStyle w:val="7"/>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70"/>
        <w:gridCol w:w="997"/>
        <w:gridCol w:w="11869"/>
        <w:gridCol w:w="139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6" w:hRule="atLeast"/>
          <w:jc w:val="center"/>
        </w:trPr>
        <w:tc>
          <w:tcPr>
            <w:tcW w:w="481" w:type="pct"/>
            <w:vAlign w:val="center"/>
          </w:tcPr>
          <w:p>
            <w:pPr>
              <w:spacing w:line="360" w:lineRule="auto"/>
              <w:jc w:val="center"/>
              <w:rPr>
                <w:rFonts w:hint="default" w:ascii="Times New Roman" w:hAnsi="Times New Roman" w:cs="Times New Roman"/>
                <w:b/>
                <w:bCs/>
                <w:sz w:val="36"/>
                <w:szCs w:val="36"/>
              </w:rPr>
            </w:pPr>
            <w:r>
              <w:rPr>
                <w:rFonts w:hint="default" w:ascii="Times New Roman" w:hAnsi="Times New Roman" w:cs="Times New Roman"/>
                <w:b/>
                <w:bCs/>
                <w:spacing w:val="6"/>
                <w:sz w:val="36"/>
                <w:szCs w:val="36"/>
              </w:rPr>
              <w:t>类别</w:t>
            </w:r>
          </w:p>
        </w:tc>
        <w:tc>
          <w:tcPr>
            <w:tcW w:w="287" w:type="pct"/>
            <w:vAlign w:val="center"/>
          </w:tcPr>
          <w:p>
            <w:pPr>
              <w:spacing w:line="360" w:lineRule="auto"/>
              <w:jc w:val="center"/>
              <w:rPr>
                <w:rFonts w:hint="default" w:ascii="Times New Roman" w:hAnsi="Times New Roman" w:cs="Times New Roman"/>
                <w:b/>
                <w:bCs/>
                <w:sz w:val="36"/>
                <w:szCs w:val="36"/>
                <w:lang w:eastAsia="zh-CN"/>
              </w:rPr>
            </w:pPr>
            <w:r>
              <w:rPr>
                <w:rFonts w:hint="default" w:ascii="Times New Roman" w:hAnsi="Times New Roman" w:cs="Times New Roman"/>
                <w:b/>
                <w:bCs/>
                <w:spacing w:val="6"/>
                <w:sz w:val="36"/>
                <w:szCs w:val="36"/>
                <w:lang w:eastAsia="zh-CN"/>
              </w:rPr>
              <w:t>评审因素</w:t>
            </w:r>
          </w:p>
        </w:tc>
        <w:tc>
          <w:tcPr>
            <w:tcW w:w="3418" w:type="pct"/>
            <w:vAlign w:val="center"/>
          </w:tcPr>
          <w:p>
            <w:pPr>
              <w:pStyle w:val="8"/>
              <w:tabs>
                <w:tab w:val="left" w:pos="4919"/>
              </w:tabs>
              <w:spacing w:line="360" w:lineRule="auto"/>
              <w:jc w:val="both"/>
              <w:rPr>
                <w:rFonts w:hint="default" w:ascii="Times New Roman" w:hAnsi="Times New Roman" w:cs="Times New Roman" w:eastAsiaTheme="minorEastAsia"/>
                <w:b/>
                <w:bCs/>
                <w:sz w:val="36"/>
                <w:szCs w:val="36"/>
              </w:rPr>
            </w:pPr>
            <w:r>
              <w:rPr>
                <w:rFonts w:hint="default" w:ascii="Times New Roman" w:hAnsi="Times New Roman" w:cs="Times New Roman" w:eastAsiaTheme="minorEastAsia"/>
                <w:b/>
                <w:bCs/>
                <w:sz w:val="36"/>
                <w:szCs w:val="36"/>
                <w:lang w:eastAsia="zh-CN"/>
              </w:rPr>
              <w:tab/>
            </w:r>
            <w:r>
              <w:rPr>
                <w:rFonts w:hint="default" w:ascii="Times New Roman" w:hAnsi="Times New Roman" w:cs="Times New Roman" w:eastAsiaTheme="minorEastAsia"/>
                <w:b/>
                <w:bCs/>
                <w:spacing w:val="4"/>
                <w:sz w:val="36"/>
                <w:szCs w:val="36"/>
              </w:rPr>
              <w:t>评分标准</w:t>
            </w:r>
          </w:p>
        </w:tc>
        <w:tc>
          <w:tcPr>
            <w:tcW w:w="403" w:type="pct"/>
            <w:vAlign w:val="center"/>
          </w:tcPr>
          <w:p>
            <w:pPr>
              <w:spacing w:line="360" w:lineRule="auto"/>
              <w:jc w:val="center"/>
              <w:rPr>
                <w:rFonts w:hint="default" w:ascii="Times New Roman" w:hAnsi="Times New Roman" w:cs="Times New Roman"/>
                <w:b/>
                <w:bCs/>
                <w:spacing w:val="-15"/>
                <w:sz w:val="36"/>
                <w:szCs w:val="36"/>
                <w:lang w:eastAsia="zh-CN"/>
              </w:rPr>
            </w:pPr>
            <w:r>
              <w:rPr>
                <w:rFonts w:hint="default" w:ascii="Times New Roman" w:hAnsi="Times New Roman" w:cs="Times New Roman"/>
                <w:b/>
                <w:bCs/>
                <w:spacing w:val="-15"/>
                <w:sz w:val="36"/>
                <w:szCs w:val="36"/>
                <w:lang w:eastAsia="zh-CN"/>
              </w:rPr>
              <w:t>是否为客观项</w:t>
            </w:r>
          </w:p>
        </w:tc>
        <w:tc>
          <w:tcPr>
            <w:tcW w:w="409" w:type="pct"/>
            <w:vAlign w:val="center"/>
          </w:tcPr>
          <w:p>
            <w:pPr>
              <w:spacing w:line="360" w:lineRule="auto"/>
              <w:jc w:val="center"/>
              <w:rPr>
                <w:rFonts w:hint="default" w:ascii="Times New Roman" w:hAnsi="Times New Roman" w:cs="Times New Roman"/>
                <w:b/>
                <w:bCs/>
                <w:spacing w:val="-15"/>
                <w:sz w:val="36"/>
                <w:szCs w:val="36"/>
                <w:lang w:eastAsia="zh-CN"/>
              </w:rPr>
            </w:pPr>
            <w:r>
              <w:rPr>
                <w:rFonts w:hint="default" w:ascii="Times New Roman" w:hAnsi="Times New Roman" w:cs="Times New Roman"/>
                <w:b/>
                <w:bCs/>
                <w:spacing w:val="-15"/>
                <w:sz w:val="36"/>
                <w:szCs w:val="36"/>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5" w:hRule="atLeast"/>
          <w:jc w:val="center"/>
        </w:trPr>
        <w:tc>
          <w:tcPr>
            <w:tcW w:w="481" w:type="pct"/>
            <w:vMerge w:val="restart"/>
            <w:vAlign w:val="center"/>
          </w:tcPr>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jc w:val="center"/>
              <w:rPr>
                <w:rFonts w:hint="default" w:ascii="Times New Roman" w:hAnsi="Times New Roman" w:cs="Times New Roman"/>
                <w:sz w:val="32"/>
                <w:szCs w:val="32"/>
                <w:lang w:eastAsia="zh-CN"/>
              </w:rPr>
            </w:pPr>
          </w:p>
          <w:p>
            <w:pPr>
              <w:spacing w:line="360" w:lineRule="auto"/>
              <w:ind w:firstLine="161" w:firstLineChars="50"/>
              <w:jc w:val="center"/>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商务部分</w:t>
            </w:r>
          </w:p>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b/>
                <w:bCs/>
                <w:sz w:val="32"/>
                <w:szCs w:val="32"/>
                <w:lang w:eastAsia="zh-CN"/>
              </w:rPr>
              <w:t>(58分)</w:t>
            </w:r>
          </w:p>
        </w:tc>
        <w:tc>
          <w:tcPr>
            <w:tcW w:w="287"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企业 业绩</w:t>
            </w:r>
          </w:p>
        </w:tc>
        <w:tc>
          <w:tcPr>
            <w:tcW w:w="3418" w:type="pct"/>
            <w:vAlign w:val="center"/>
          </w:tcPr>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投标人提供自2021年4月1日至投标文件在截至时间（以合同签订时间为准）类似项目业绩，每提供一个业绩得2分，最高得8分，未提供不得分。</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注：需提供类似项目业绩合同关键页扫描件，合同关键页内容须体现合同名称、签订双方名称、签订时间、主要服务内容以及双方盖章页，否则不得分。</w:t>
            </w:r>
          </w:p>
        </w:tc>
        <w:tc>
          <w:tcPr>
            <w:tcW w:w="403"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是</w:t>
            </w:r>
          </w:p>
        </w:tc>
        <w:tc>
          <w:tcPr>
            <w:tcW w:w="409"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9" w:hRule="atLeast"/>
          <w:jc w:val="center"/>
        </w:trPr>
        <w:tc>
          <w:tcPr>
            <w:tcW w:w="481" w:type="pct"/>
            <w:vMerge w:val="continue"/>
            <w:vAlign w:val="center"/>
          </w:tcPr>
          <w:p>
            <w:pPr>
              <w:spacing w:line="360" w:lineRule="auto"/>
              <w:jc w:val="center"/>
              <w:rPr>
                <w:rFonts w:hint="default" w:ascii="Times New Roman" w:hAnsi="Times New Roman" w:cs="Times New Roman"/>
                <w:sz w:val="32"/>
                <w:szCs w:val="32"/>
                <w:lang w:eastAsia="zh-CN"/>
              </w:rPr>
            </w:pPr>
          </w:p>
        </w:tc>
        <w:tc>
          <w:tcPr>
            <w:tcW w:w="287"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企业 实力</w:t>
            </w:r>
          </w:p>
        </w:tc>
        <w:tc>
          <w:tcPr>
            <w:tcW w:w="3418" w:type="pct"/>
            <w:vAlign w:val="center"/>
          </w:tcPr>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投标人具有有效期内的IS0 9001质量管理体系证书；</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有效期内的ISO 14001环境管里体系证书；</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有效期内的ITSS信息技术服务运行维护标准符合性三级及以上证书；</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有效期内的ISO 20000信息技术服务管理体系认证证书；</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有效期内的ISO 45001职业健康安全管理体系；</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上述证书投标人每提供1项得1分，本项最多得5分，未提供不得分。</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注：需提供在有效期内的证书扫描件，否则不得分。</w:t>
            </w:r>
          </w:p>
        </w:tc>
        <w:tc>
          <w:tcPr>
            <w:tcW w:w="403"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是</w:t>
            </w:r>
          </w:p>
        </w:tc>
        <w:tc>
          <w:tcPr>
            <w:tcW w:w="409"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2" w:hRule="atLeast"/>
          <w:jc w:val="center"/>
        </w:trPr>
        <w:tc>
          <w:tcPr>
            <w:tcW w:w="481" w:type="pct"/>
            <w:vMerge w:val="continue"/>
            <w:vAlign w:val="center"/>
          </w:tcPr>
          <w:p>
            <w:pPr>
              <w:spacing w:line="360" w:lineRule="auto"/>
              <w:jc w:val="center"/>
              <w:rPr>
                <w:rFonts w:hint="default" w:ascii="Times New Roman" w:hAnsi="Times New Roman" w:cs="Times New Roman"/>
                <w:sz w:val="32"/>
                <w:szCs w:val="32"/>
                <w:lang w:eastAsia="zh-CN"/>
              </w:rPr>
            </w:pPr>
          </w:p>
        </w:tc>
        <w:tc>
          <w:tcPr>
            <w:tcW w:w="287"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产品 特性</w:t>
            </w:r>
          </w:p>
        </w:tc>
        <w:tc>
          <w:tcPr>
            <w:tcW w:w="3418" w:type="pct"/>
            <w:vAlign w:val="center"/>
          </w:tcPr>
          <w:p>
            <w:pPr>
              <w:spacing w:line="360" w:lineRule="auto"/>
              <w:jc w:val="both"/>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lang w:eastAsia="zh-CN"/>
              </w:rPr>
              <w:t>1、所投台式机电</w:t>
            </w:r>
            <w:r>
              <w:rPr>
                <w:rFonts w:hint="default" w:ascii="Times New Roman" w:hAnsi="Times New Roman" w:cs="Times New Roman"/>
                <w:sz w:val="32"/>
                <w:szCs w:val="32"/>
                <w:highlight w:val="none"/>
                <w:lang w:eastAsia="zh-CN"/>
              </w:rPr>
              <w:t>脑内存频率≥5500MT/s得3分，内存频率≥4266MT/s得1分，其余不得分；</w:t>
            </w:r>
          </w:p>
          <w:p>
            <w:pPr>
              <w:numPr>
                <w:ilvl w:val="0"/>
                <w:numId w:val="1"/>
              </w:numPr>
              <w:spacing w:line="360" w:lineRule="auto"/>
              <w:jc w:val="both"/>
              <w:rPr>
                <w:rFonts w:hint="default" w:ascii="Times New Roman" w:hAnsi="Times New Roman" w:cs="Times New Roman"/>
                <w:color w:val="0000FF"/>
                <w:sz w:val="32"/>
                <w:szCs w:val="32"/>
                <w:highlight w:val="none"/>
                <w:lang w:eastAsia="zh-CN"/>
              </w:rPr>
            </w:pPr>
            <w:r>
              <w:rPr>
                <w:rFonts w:hint="default" w:ascii="Times New Roman" w:hAnsi="Times New Roman" w:cs="Times New Roman"/>
                <w:sz w:val="32"/>
                <w:szCs w:val="32"/>
                <w:highlight w:val="none"/>
                <w:lang w:eastAsia="zh-CN"/>
              </w:rPr>
              <w:t xml:space="preserve">所投台式机cpu支持内存的最高读写速率≥5500MHz得3分，≥4266MHz得1分，其余不得分； </w:t>
            </w:r>
          </w:p>
          <w:p>
            <w:pPr>
              <w:spacing w:line="360" w:lineRule="auto"/>
              <w:jc w:val="both"/>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3、所投台式机电脑显示器屏占比≥90%，得2分，其余不得分；</w:t>
            </w:r>
          </w:p>
          <w:p>
            <w:pPr>
              <w:spacing w:line="360" w:lineRule="auto"/>
              <w:jc w:val="both"/>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4、所投台式机电脑配套的显示器颜色失真小，ΔE≤2的得3分；</w:t>
            </w:r>
          </w:p>
          <w:p>
            <w:pPr>
              <w:spacing w:line="360" w:lineRule="auto"/>
              <w:jc w:val="both"/>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5、所投台式机配套显示器具备低蓝光认证（德国莱茵认证：德国莱茵低蓝光认证）提供证书得</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CN"/>
              </w:rPr>
              <w:t>分，其余不得分；</w:t>
            </w:r>
          </w:p>
          <w:p>
            <w:pPr>
              <w:spacing w:line="360" w:lineRule="auto"/>
              <w:jc w:val="both"/>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val="en-US" w:eastAsia="zh-CN"/>
              </w:rPr>
              <w:t>6</w:t>
            </w:r>
            <w:r>
              <w:rPr>
                <w:rFonts w:hint="default" w:ascii="Times New Roman" w:hAnsi="Times New Roman" w:cs="Times New Roman"/>
                <w:sz w:val="32"/>
                <w:szCs w:val="32"/>
                <w:highlight w:val="none"/>
                <w:lang w:eastAsia="zh-CN"/>
              </w:rPr>
              <w:t>、所投台式机配套显示器具备无频闪护眼认证（德国莱茵认证：莱茵无频闪护眼认证），提供证书得</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CN"/>
              </w:rPr>
              <w:t>分，其余不得分；</w:t>
            </w:r>
          </w:p>
          <w:p>
            <w:pPr>
              <w:spacing w:line="360" w:lineRule="auto"/>
              <w:jc w:val="both"/>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7、所投笔记本电脑内存频率≥5500MT/s得3分，内存频率≥4266MT/s得1分，其余不得分；</w:t>
            </w:r>
          </w:p>
          <w:p>
            <w:pPr>
              <w:spacing w:line="360" w:lineRule="auto"/>
              <w:jc w:val="both"/>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8、所投笔记本cpu支持内存的最高读写速率≥5500MHz得3分，≥4266MHz得1分，其余不得分；</w:t>
            </w:r>
          </w:p>
          <w:p>
            <w:pPr>
              <w:spacing w:line="360" w:lineRule="auto"/>
              <w:jc w:val="both"/>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10、所投笔记本产品通过MTBF认证≥</w:t>
            </w:r>
            <w:r>
              <w:rPr>
                <w:rFonts w:hint="default" w:ascii="Times New Roman" w:hAnsi="Times New Roman" w:cs="Times New Roman"/>
                <w:sz w:val="32"/>
                <w:szCs w:val="32"/>
                <w:highlight w:val="none"/>
                <w:lang w:val="en-US" w:eastAsia="zh-CN"/>
              </w:rPr>
              <w:t>20</w:t>
            </w:r>
            <w:r>
              <w:rPr>
                <w:rFonts w:hint="default" w:ascii="Times New Roman" w:hAnsi="Times New Roman" w:cs="Times New Roman"/>
                <w:sz w:val="32"/>
                <w:szCs w:val="32"/>
                <w:highlight w:val="none"/>
                <w:lang w:eastAsia="zh-CN"/>
              </w:rPr>
              <w:t>万小时的，得</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CN"/>
              </w:rPr>
              <w:t>分；≥</w:t>
            </w:r>
            <w:r>
              <w:rPr>
                <w:rFonts w:hint="default"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lang w:eastAsia="zh-CN"/>
              </w:rPr>
              <w:t>0万小时，得1分，其余不得分；</w:t>
            </w:r>
          </w:p>
          <w:p>
            <w:pPr>
              <w:spacing w:line="360" w:lineRule="auto"/>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11、所投笔记本产品提供国家工信部指定的权威测试机构出具的测试报告，满载待机性能（LTP)续航时间≥5小时得3分；≥4小时得1分，其余不得分；</w:t>
            </w:r>
          </w:p>
          <w:p>
            <w:pPr>
              <w:spacing w:line="360" w:lineRule="auto"/>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12、所投笔记本产品显示屏分辨率≥2160*1440的得1分；</w:t>
            </w:r>
          </w:p>
          <w:p>
            <w:pPr>
              <w:spacing w:line="360" w:lineRule="auto"/>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13、所投笔记本产品支持WIFI6协议的得1分；</w:t>
            </w:r>
          </w:p>
        </w:tc>
        <w:tc>
          <w:tcPr>
            <w:tcW w:w="403"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是</w:t>
            </w:r>
          </w:p>
        </w:tc>
        <w:tc>
          <w:tcPr>
            <w:tcW w:w="409"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color w:val="auto"/>
                <w:sz w:val="32"/>
                <w:szCs w:val="32"/>
                <w:lang w:val="en-US" w:eastAsia="zh-CN"/>
              </w:rPr>
              <w:t>28</w:t>
            </w:r>
            <w:r>
              <w:rPr>
                <w:rFonts w:hint="default" w:ascii="Times New Roman" w:hAnsi="Times New Roman" w:cs="Times New Roman"/>
                <w:color w:val="auto"/>
                <w:sz w:val="32"/>
                <w:szCs w:val="32"/>
                <w:lang w:eastAsia="zh-CN"/>
              </w:rPr>
              <w:t>分</w:t>
            </w:r>
          </w:p>
        </w:tc>
      </w:tr>
    </w:tbl>
    <w:p>
      <w:pPr>
        <w:spacing w:before="15" w:line="360" w:lineRule="auto"/>
        <w:rPr>
          <w:rFonts w:hint="default" w:ascii="Times New Roman" w:hAnsi="Times New Roman" w:cs="Times New Roman"/>
          <w:sz w:val="32"/>
          <w:szCs w:val="32"/>
          <w:lang w:eastAsia="zh-CN"/>
        </w:rPr>
      </w:pPr>
    </w:p>
    <w:p>
      <w:pPr>
        <w:spacing w:before="15" w:line="360" w:lineRule="auto"/>
        <w:rPr>
          <w:rFonts w:hint="default" w:ascii="Times New Roman" w:hAnsi="Times New Roman" w:cs="Times New Roman"/>
          <w:sz w:val="32"/>
          <w:szCs w:val="32"/>
          <w:lang w:eastAsia="zh-CN"/>
        </w:rPr>
        <w:sectPr>
          <w:pgSz w:w="21220" w:h="28290"/>
          <w:pgMar w:top="1440" w:right="1803" w:bottom="1440" w:left="1803" w:header="0" w:footer="0" w:gutter="0"/>
          <w:cols w:space="0" w:num="1"/>
        </w:sectPr>
      </w:pPr>
    </w:p>
    <w:tbl>
      <w:tblPr>
        <w:tblStyle w:val="7"/>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10"/>
        <w:gridCol w:w="975"/>
        <w:gridCol w:w="12240"/>
        <w:gridCol w:w="132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432" w:type="pct"/>
            <w:vMerge w:val="restart"/>
            <w:vAlign w:val="center"/>
          </w:tcPr>
          <w:p>
            <w:pPr>
              <w:spacing w:line="360" w:lineRule="auto"/>
              <w:jc w:val="center"/>
              <w:rPr>
                <w:rFonts w:hint="default" w:ascii="Times New Roman" w:hAnsi="Times New Roman" w:cs="Times New Roman"/>
                <w:sz w:val="32"/>
                <w:szCs w:val="32"/>
                <w:lang w:eastAsia="zh-CN"/>
              </w:rPr>
            </w:pPr>
          </w:p>
        </w:tc>
        <w:tc>
          <w:tcPr>
            <w:tcW w:w="279"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售后保障能力</w:t>
            </w:r>
          </w:p>
        </w:tc>
        <w:tc>
          <w:tcPr>
            <w:tcW w:w="3502" w:type="pct"/>
            <w:vAlign w:val="center"/>
          </w:tcPr>
          <w:p>
            <w:pPr>
              <w:spacing w:line="360" w:lineRule="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具备有效期内的《商品售后服务评价体系》服务认证证书，四星得1分，5星的2分，其他或者未提供均不得分。</w:t>
            </w:r>
          </w:p>
        </w:tc>
        <w:tc>
          <w:tcPr>
            <w:tcW w:w="380"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是</w:t>
            </w:r>
          </w:p>
        </w:tc>
        <w:tc>
          <w:tcPr>
            <w:tcW w:w="405"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432" w:type="pct"/>
            <w:vMerge w:val="continue"/>
            <w:vAlign w:val="center"/>
          </w:tcPr>
          <w:p>
            <w:pPr>
              <w:spacing w:line="360" w:lineRule="auto"/>
              <w:jc w:val="center"/>
              <w:rPr>
                <w:rFonts w:hint="default" w:ascii="Times New Roman" w:hAnsi="Times New Roman" w:cs="Times New Roman"/>
                <w:sz w:val="32"/>
                <w:szCs w:val="32"/>
                <w:lang w:eastAsia="zh-CN"/>
              </w:rPr>
            </w:pPr>
          </w:p>
        </w:tc>
        <w:tc>
          <w:tcPr>
            <w:tcW w:w="279" w:type="pct"/>
            <w:vMerge w:val="restar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人员  配置</w:t>
            </w:r>
          </w:p>
        </w:tc>
        <w:tc>
          <w:tcPr>
            <w:tcW w:w="3502" w:type="pct"/>
            <w:vAlign w:val="center"/>
          </w:tcPr>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专业技术人员保障：正式专业技术人员保障10人，同时提供工业和信息化部教育与考试中心颁发的信息安全工程师或信创规划管理师证书得5分，未提供不得分。</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注：需提供6个月以来任意一个月投标人为其缴纳的社保证明材料。</w:t>
            </w:r>
          </w:p>
        </w:tc>
        <w:tc>
          <w:tcPr>
            <w:tcW w:w="380"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是</w:t>
            </w:r>
          </w:p>
        </w:tc>
        <w:tc>
          <w:tcPr>
            <w:tcW w:w="405"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6" w:hRule="atLeast"/>
          <w:jc w:val="center"/>
        </w:trPr>
        <w:tc>
          <w:tcPr>
            <w:tcW w:w="432" w:type="pct"/>
            <w:vMerge w:val="continue"/>
            <w:vAlign w:val="center"/>
          </w:tcPr>
          <w:p>
            <w:pPr>
              <w:spacing w:line="360" w:lineRule="auto"/>
              <w:jc w:val="center"/>
              <w:rPr>
                <w:rFonts w:hint="default" w:ascii="Times New Roman" w:hAnsi="Times New Roman" w:cs="Times New Roman"/>
                <w:sz w:val="32"/>
                <w:szCs w:val="32"/>
                <w:lang w:eastAsia="zh-CN"/>
              </w:rPr>
            </w:pPr>
          </w:p>
        </w:tc>
        <w:tc>
          <w:tcPr>
            <w:tcW w:w="279" w:type="pct"/>
            <w:vMerge w:val="continue"/>
            <w:vAlign w:val="center"/>
          </w:tcPr>
          <w:p>
            <w:pPr>
              <w:spacing w:line="360" w:lineRule="auto"/>
              <w:jc w:val="center"/>
              <w:rPr>
                <w:rFonts w:hint="default" w:ascii="Times New Roman" w:hAnsi="Times New Roman" w:cs="Times New Roman"/>
                <w:sz w:val="32"/>
                <w:szCs w:val="32"/>
                <w:lang w:eastAsia="zh-CN"/>
              </w:rPr>
            </w:pPr>
          </w:p>
        </w:tc>
        <w:tc>
          <w:tcPr>
            <w:tcW w:w="3502" w:type="pct"/>
            <w:vAlign w:val="center"/>
          </w:tcPr>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投入本项目的项目经理，以下每满足1项得3分，最多6分。</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1.具有5年（含）以上国产化行业从业经历，且具有2个及以上国产化集成类项目经验，并在项目担任项目经理角色。须提供证明材料</w:t>
            </w:r>
            <w:r>
              <w:rPr>
                <w:rFonts w:hint="default" w:ascii="Times New Roman" w:hAnsi="Times New Roman" w:cs="Times New Roman"/>
                <w:color w:val="auto"/>
                <w:sz w:val="32"/>
                <w:szCs w:val="32"/>
                <w:lang w:val="en-US" w:eastAsia="zh-CN"/>
              </w:rPr>
              <w:t>并</w:t>
            </w:r>
            <w:r>
              <w:rPr>
                <w:rFonts w:hint="default" w:ascii="Times New Roman" w:hAnsi="Times New Roman" w:cs="Times New Roman"/>
                <w:color w:val="auto"/>
                <w:sz w:val="32"/>
                <w:szCs w:val="32"/>
                <w:lang w:eastAsia="zh-CN"/>
              </w:rPr>
              <w:t>加盖投标人公章，否则不得分。</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2.具有CISP或计算机相关专业</w:t>
            </w:r>
            <w:r>
              <w:rPr>
                <w:rFonts w:hint="default" w:ascii="Times New Roman" w:hAnsi="Times New Roman" w:cs="Times New Roman"/>
                <w:color w:val="auto"/>
                <w:sz w:val="32"/>
                <w:szCs w:val="32"/>
                <w:highlight w:val="none"/>
                <w:lang w:eastAsia="zh-CN"/>
              </w:rPr>
              <w:t>中级职称。</w:t>
            </w:r>
            <w:r>
              <w:rPr>
                <w:rFonts w:hint="default" w:ascii="Times New Roman" w:hAnsi="Times New Roman" w:cs="Times New Roman"/>
                <w:color w:val="auto"/>
                <w:sz w:val="32"/>
                <w:szCs w:val="32"/>
                <w:lang w:eastAsia="zh-CN"/>
              </w:rPr>
              <w:t>须提供有效期内资格证书，加盖投标人公章，否则不得分。</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注：需提供6个月以来任意一个月投标人为其缴纳的社保证明材料。</w:t>
            </w:r>
          </w:p>
        </w:tc>
        <w:tc>
          <w:tcPr>
            <w:tcW w:w="380"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是</w:t>
            </w:r>
          </w:p>
        </w:tc>
        <w:tc>
          <w:tcPr>
            <w:tcW w:w="405"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3" w:hRule="atLeast"/>
          <w:jc w:val="center"/>
        </w:trPr>
        <w:tc>
          <w:tcPr>
            <w:tcW w:w="432" w:type="pct"/>
            <w:vMerge w:val="continue"/>
            <w:vAlign w:val="center"/>
          </w:tcPr>
          <w:p>
            <w:pPr>
              <w:spacing w:line="360" w:lineRule="auto"/>
              <w:jc w:val="center"/>
              <w:rPr>
                <w:rFonts w:hint="default" w:ascii="Times New Roman" w:hAnsi="Times New Roman" w:cs="Times New Roman"/>
                <w:sz w:val="32"/>
                <w:szCs w:val="32"/>
                <w:lang w:eastAsia="zh-CN"/>
              </w:rPr>
            </w:pPr>
          </w:p>
        </w:tc>
        <w:tc>
          <w:tcPr>
            <w:tcW w:w="279" w:type="pct"/>
            <w:vAlign w:val="center"/>
          </w:tcPr>
          <w:p>
            <w:pPr>
              <w:spacing w:line="360" w:lineRule="auto"/>
              <w:jc w:val="center"/>
              <w:rPr>
                <w:rFonts w:hint="default" w:ascii="Times New Roman" w:hAnsi="Times New Roman" w:cs="Times New Roman"/>
                <w:color w:val="0000FF"/>
                <w:sz w:val="32"/>
                <w:szCs w:val="32"/>
                <w:lang w:eastAsia="zh-CN"/>
              </w:rPr>
            </w:pPr>
            <w:r>
              <w:rPr>
                <w:rFonts w:hint="default" w:ascii="Times New Roman" w:hAnsi="Times New Roman" w:cs="Times New Roman"/>
                <w:color w:val="auto"/>
                <w:sz w:val="32"/>
                <w:szCs w:val="32"/>
                <w:lang w:eastAsia="zh-CN"/>
              </w:rPr>
              <w:t>适配集成场地</w:t>
            </w:r>
          </w:p>
        </w:tc>
        <w:tc>
          <w:tcPr>
            <w:tcW w:w="3502" w:type="pct"/>
            <w:vAlign w:val="center"/>
          </w:tcPr>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投标人具备用于项目适配、技术验证、集成测试等使用的国产化适配基地，提供租赁合同或场地照片，每满足一项得</w:t>
            </w:r>
            <w:r>
              <w:rPr>
                <w:rFonts w:hint="default" w:ascii="Times New Roman" w:hAnsi="Times New Roman" w:cs="Times New Roman"/>
                <w:color w:val="auto"/>
                <w:sz w:val="32"/>
                <w:szCs w:val="32"/>
                <w:lang w:val="en-US" w:eastAsia="zh-CN"/>
              </w:rPr>
              <w:t>2分</w:t>
            </w:r>
            <w:r>
              <w:rPr>
                <w:rFonts w:hint="default" w:ascii="Times New Roman" w:hAnsi="Times New Roman" w:cs="Times New Roman"/>
                <w:color w:val="auto"/>
                <w:sz w:val="32"/>
                <w:szCs w:val="32"/>
                <w:lang w:eastAsia="zh-CN"/>
              </w:rPr>
              <w:t>，最高得</w:t>
            </w:r>
            <w:r>
              <w:rPr>
                <w:rFonts w:hint="default" w:ascii="Times New Roman" w:hAnsi="Times New Roman" w:cs="Times New Roman"/>
                <w:color w:val="auto"/>
                <w:sz w:val="32"/>
                <w:szCs w:val="32"/>
                <w:lang w:val="en-US" w:eastAsia="zh-CN"/>
              </w:rPr>
              <w:t>4分，</w:t>
            </w:r>
            <w:r>
              <w:rPr>
                <w:rFonts w:hint="default" w:ascii="Times New Roman" w:hAnsi="Times New Roman" w:cs="Times New Roman"/>
                <w:color w:val="auto"/>
                <w:sz w:val="32"/>
                <w:szCs w:val="32"/>
                <w:lang w:eastAsia="zh-CN"/>
              </w:rPr>
              <w:t>无法满足</w:t>
            </w:r>
            <w:r>
              <w:rPr>
                <w:rFonts w:hint="default" w:ascii="Times New Roman" w:hAnsi="Times New Roman" w:cs="Times New Roman"/>
                <w:color w:val="auto"/>
                <w:sz w:val="32"/>
                <w:szCs w:val="32"/>
                <w:lang w:val="en-US" w:eastAsia="zh-CN"/>
              </w:rPr>
              <w:t>或不提供</w:t>
            </w:r>
            <w:r>
              <w:rPr>
                <w:rFonts w:hint="default" w:ascii="Times New Roman" w:hAnsi="Times New Roman" w:cs="Times New Roman"/>
                <w:color w:val="auto"/>
                <w:sz w:val="32"/>
                <w:szCs w:val="32"/>
                <w:lang w:eastAsia="zh-CN"/>
              </w:rPr>
              <w:t>不得分。</w:t>
            </w:r>
          </w:p>
        </w:tc>
        <w:tc>
          <w:tcPr>
            <w:tcW w:w="380"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是</w:t>
            </w:r>
          </w:p>
        </w:tc>
        <w:tc>
          <w:tcPr>
            <w:tcW w:w="405"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6" w:hRule="atLeast"/>
          <w:jc w:val="center"/>
        </w:trPr>
        <w:tc>
          <w:tcPr>
            <w:tcW w:w="432" w:type="pct"/>
            <w:vMerge w:val="restart"/>
            <w:vAlign w:val="center"/>
          </w:tcPr>
          <w:p>
            <w:pPr>
              <w:spacing w:line="360" w:lineRule="auto"/>
              <w:ind w:firstLine="161" w:firstLineChars="50"/>
              <w:jc w:val="center"/>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技术部分</w:t>
            </w:r>
          </w:p>
          <w:p>
            <w:pPr>
              <w:spacing w:line="360" w:lineRule="auto"/>
              <w:ind w:firstLine="161" w:firstLineChars="50"/>
              <w:jc w:val="center"/>
              <w:rPr>
                <w:rFonts w:hint="default" w:ascii="Times New Roman" w:hAnsi="Times New Roman" w:cs="Times New Roman"/>
                <w:sz w:val="32"/>
                <w:szCs w:val="32"/>
                <w:lang w:eastAsia="zh-CN"/>
              </w:rPr>
            </w:pPr>
            <w:r>
              <w:rPr>
                <w:rFonts w:hint="default" w:ascii="Times New Roman" w:hAnsi="Times New Roman" w:cs="Times New Roman"/>
                <w:b/>
                <w:bCs/>
                <w:sz w:val="32"/>
                <w:szCs w:val="32"/>
                <w:lang w:eastAsia="zh-CN"/>
              </w:rPr>
              <w:t>(12分)</w:t>
            </w:r>
          </w:p>
        </w:tc>
        <w:tc>
          <w:tcPr>
            <w:tcW w:w="279"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供货方案及保障措施</w:t>
            </w:r>
          </w:p>
        </w:tc>
        <w:tc>
          <w:tcPr>
            <w:tcW w:w="3502" w:type="pct"/>
            <w:vAlign w:val="center"/>
          </w:tcPr>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1.方案完整科学合理、可行性强、供货进度合理且优于要求，措施详细、全面、科学合理，得3分；</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2.方案完整较合理、可行性较强、供货进度合理且满足要求，措施较全面、可操作性较合理，得2分；</w:t>
            </w:r>
          </w:p>
          <w:p>
            <w:pPr>
              <w:spacing w:line="360" w:lineRule="auto"/>
              <w:jc w:val="both"/>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3.方案基本合理、可行性一般、供货进度合理性一般、基本满足要求，措施不全面、可操作性一般，得1分。</w:t>
            </w:r>
          </w:p>
        </w:tc>
        <w:tc>
          <w:tcPr>
            <w:tcW w:w="380" w:type="pct"/>
            <w:vAlign w:val="center"/>
          </w:tcPr>
          <w:p>
            <w:pPr>
              <w:spacing w:line="360" w:lineRule="auto"/>
              <w:jc w:val="center"/>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否</w:t>
            </w:r>
          </w:p>
        </w:tc>
        <w:tc>
          <w:tcPr>
            <w:tcW w:w="405" w:type="pct"/>
            <w:vAlign w:val="center"/>
          </w:tcPr>
          <w:p>
            <w:pPr>
              <w:spacing w:line="360" w:lineRule="auto"/>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8" w:hRule="atLeast"/>
          <w:jc w:val="center"/>
        </w:trPr>
        <w:tc>
          <w:tcPr>
            <w:tcW w:w="432" w:type="pct"/>
            <w:vMerge w:val="continue"/>
            <w:vAlign w:val="center"/>
          </w:tcPr>
          <w:p>
            <w:pPr>
              <w:spacing w:line="360" w:lineRule="auto"/>
              <w:jc w:val="center"/>
              <w:rPr>
                <w:rFonts w:hint="default" w:ascii="Times New Roman" w:hAnsi="Times New Roman" w:cs="Times New Roman"/>
                <w:sz w:val="32"/>
                <w:szCs w:val="32"/>
                <w:lang w:eastAsia="zh-CN"/>
              </w:rPr>
            </w:pPr>
          </w:p>
        </w:tc>
        <w:tc>
          <w:tcPr>
            <w:tcW w:w="279"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质量保障措施方案</w:t>
            </w:r>
          </w:p>
        </w:tc>
        <w:tc>
          <w:tcPr>
            <w:tcW w:w="3502" w:type="pct"/>
            <w:vAlign w:val="center"/>
          </w:tcPr>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1.科学合理、可行性强、与项目的实际情况切合度高的，得3分；</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2.合理、可行性强、与本项目的实际情况切合的，得2分；</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3.方案可行、满足项目实施要求的，得1分；</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4.无质量保障措施方案，得0分。</w:t>
            </w:r>
          </w:p>
        </w:tc>
        <w:tc>
          <w:tcPr>
            <w:tcW w:w="380" w:type="pct"/>
            <w:vAlign w:val="center"/>
          </w:tcPr>
          <w:p>
            <w:pPr>
              <w:spacing w:line="360" w:lineRule="auto"/>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否</w:t>
            </w:r>
          </w:p>
        </w:tc>
        <w:tc>
          <w:tcPr>
            <w:tcW w:w="405"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3" w:hRule="atLeast"/>
          <w:jc w:val="center"/>
        </w:trPr>
        <w:tc>
          <w:tcPr>
            <w:tcW w:w="432" w:type="pct"/>
            <w:vMerge w:val="continue"/>
            <w:vAlign w:val="center"/>
          </w:tcPr>
          <w:p>
            <w:pPr>
              <w:spacing w:line="360" w:lineRule="auto"/>
              <w:jc w:val="center"/>
              <w:rPr>
                <w:rFonts w:hint="default" w:ascii="Times New Roman" w:hAnsi="Times New Roman" w:cs="Times New Roman"/>
                <w:sz w:val="32"/>
                <w:szCs w:val="32"/>
                <w:lang w:eastAsia="zh-CN"/>
              </w:rPr>
            </w:pPr>
          </w:p>
        </w:tc>
        <w:tc>
          <w:tcPr>
            <w:tcW w:w="279"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售后服务方案</w:t>
            </w:r>
          </w:p>
        </w:tc>
        <w:tc>
          <w:tcPr>
            <w:tcW w:w="3502" w:type="pct"/>
            <w:vAlign w:val="center"/>
          </w:tcPr>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1.服务方案及保障措施完善，质量体系完备，服务团队人员稳定、服务响应及时优于招称文件要求，有统一服务热线措施等，得3分；</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2.服务方案及保障措施简单通用，质量体系完备，服务团队人员稳定、服务响应及时达到招标文件要求，具有统一服务热线措施等，得2分；</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3.服务方案及保障措施较完善，质量体系较完备，服务团队人员基本稳定，服务响应基本满足招标文件要求，得1分；</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4.未提供得0分。</w:t>
            </w:r>
          </w:p>
        </w:tc>
        <w:tc>
          <w:tcPr>
            <w:tcW w:w="380" w:type="pct"/>
            <w:vAlign w:val="center"/>
          </w:tcPr>
          <w:p>
            <w:pPr>
              <w:spacing w:line="360" w:lineRule="auto"/>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否</w:t>
            </w:r>
          </w:p>
        </w:tc>
        <w:tc>
          <w:tcPr>
            <w:tcW w:w="405"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6" w:hRule="atLeast"/>
          <w:jc w:val="center"/>
        </w:trPr>
        <w:tc>
          <w:tcPr>
            <w:tcW w:w="432" w:type="pct"/>
            <w:vMerge w:val="continue"/>
            <w:vAlign w:val="center"/>
          </w:tcPr>
          <w:p>
            <w:pPr>
              <w:spacing w:line="360" w:lineRule="auto"/>
              <w:jc w:val="center"/>
              <w:rPr>
                <w:rFonts w:hint="default" w:ascii="Times New Roman" w:hAnsi="Times New Roman" w:cs="Times New Roman"/>
                <w:sz w:val="32"/>
                <w:szCs w:val="32"/>
                <w:lang w:eastAsia="zh-CN"/>
              </w:rPr>
            </w:pPr>
          </w:p>
        </w:tc>
        <w:tc>
          <w:tcPr>
            <w:tcW w:w="279"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应急管理措施</w:t>
            </w:r>
          </w:p>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方案</w:t>
            </w:r>
          </w:p>
        </w:tc>
        <w:tc>
          <w:tcPr>
            <w:tcW w:w="3502" w:type="pct"/>
            <w:vAlign w:val="center"/>
          </w:tcPr>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1.科学合理、可行性强、与项目的实际情况切合度高优秀的，得3分；</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2.合理、可行性强。与本项目的实际情况切合的，得2分；</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3.方案可行、满无项目实施要求的，得1分；</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4.无质量保障措施方案，得0分。</w:t>
            </w:r>
          </w:p>
        </w:tc>
        <w:tc>
          <w:tcPr>
            <w:tcW w:w="380" w:type="pct"/>
            <w:vAlign w:val="center"/>
          </w:tcPr>
          <w:p>
            <w:pPr>
              <w:spacing w:line="360" w:lineRule="auto"/>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否</w:t>
            </w:r>
          </w:p>
        </w:tc>
        <w:tc>
          <w:tcPr>
            <w:tcW w:w="405"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1" w:hRule="atLeast"/>
          <w:jc w:val="center"/>
        </w:trPr>
        <w:tc>
          <w:tcPr>
            <w:tcW w:w="432" w:type="pct"/>
            <w:vAlign w:val="center"/>
          </w:tcPr>
          <w:p>
            <w:pPr>
              <w:spacing w:line="360" w:lineRule="auto"/>
              <w:ind w:firstLine="161" w:firstLineChars="50"/>
              <w:jc w:val="center"/>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报价部分</w:t>
            </w:r>
          </w:p>
          <w:p>
            <w:pPr>
              <w:spacing w:line="360" w:lineRule="auto"/>
              <w:ind w:firstLine="161" w:firstLineChars="50"/>
              <w:jc w:val="center"/>
              <w:rPr>
                <w:rFonts w:hint="default" w:ascii="Times New Roman" w:hAnsi="Times New Roman" w:cs="Times New Roman"/>
                <w:sz w:val="32"/>
                <w:szCs w:val="32"/>
                <w:lang w:eastAsia="zh-CN"/>
              </w:rPr>
            </w:pPr>
            <w:r>
              <w:rPr>
                <w:rFonts w:hint="default" w:ascii="Times New Roman" w:hAnsi="Times New Roman" w:cs="Times New Roman"/>
                <w:b/>
                <w:bCs/>
                <w:sz w:val="32"/>
                <w:szCs w:val="32"/>
                <w:lang w:eastAsia="zh-CN"/>
              </w:rPr>
              <w:t>(30分)</w:t>
            </w:r>
          </w:p>
        </w:tc>
        <w:tc>
          <w:tcPr>
            <w:tcW w:w="279"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投标报价</w:t>
            </w:r>
          </w:p>
        </w:tc>
        <w:tc>
          <w:tcPr>
            <w:tcW w:w="3502" w:type="pct"/>
            <w:vAlign w:val="center"/>
          </w:tcPr>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价格分统一采用低价优先法计算，即满足招标文件要求且投标价格最低的投标报价为评标基准价，其价格分为满分。其他投标人的投标报价分统一按照下列公式计算：投标报价得分=(评标基准价/投标报价)×30的评分方法计算。</w:t>
            </w:r>
          </w:p>
          <w:p>
            <w:pPr>
              <w:spacing w:line="360" w:lineRule="auto"/>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注：此处投标报价指经过报价修正，及因落实政府采购政策进行价格调整后的报价，详见《评标程序、评标方法和评标标准》。</w:t>
            </w:r>
          </w:p>
        </w:tc>
        <w:tc>
          <w:tcPr>
            <w:tcW w:w="380" w:type="pct"/>
            <w:vAlign w:val="center"/>
          </w:tcPr>
          <w:p>
            <w:pPr>
              <w:spacing w:line="360" w:lineRule="auto"/>
              <w:jc w:val="center"/>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是</w:t>
            </w:r>
            <w:bookmarkStart w:id="0" w:name="_GoBack"/>
            <w:bookmarkEnd w:id="0"/>
          </w:p>
        </w:tc>
        <w:tc>
          <w:tcPr>
            <w:tcW w:w="405" w:type="pct"/>
            <w:vAlign w:val="center"/>
          </w:tcPr>
          <w:p>
            <w:pPr>
              <w:spacing w:line="360" w:lineRule="auto"/>
              <w:jc w:val="cente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30分</w:t>
            </w:r>
          </w:p>
        </w:tc>
      </w:tr>
    </w:tbl>
    <w:p>
      <w:pPr>
        <w:spacing w:line="360" w:lineRule="auto"/>
        <w:rPr>
          <w:rFonts w:hint="default" w:ascii="Times New Roman" w:hAnsi="Times New Roman" w:cs="Times New Roman"/>
        </w:rPr>
      </w:pPr>
    </w:p>
    <w:sectPr>
      <w:pgSz w:w="21220" w:h="28290"/>
      <w:pgMar w:top="1440" w:right="1803" w:bottom="1440" w:left="1803"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8BCFD"/>
    <w:multiLevelType w:val="singleLevel"/>
    <w:tmpl w:val="8028BCFD"/>
    <w:lvl w:ilvl="0" w:tentative="0">
      <w:start w:val="2"/>
      <w:numFmt w:val="decimal"/>
      <w:suff w:val="nothing"/>
      <w:lvlText w:val="%1、"/>
      <w:lvlJc w:val="left"/>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ZTAzOWMwNmE2ZmQxNDZiMjE3MjJhY2Q0MmRjZWMifQ=="/>
  </w:docVars>
  <w:rsids>
    <w:rsidRoot w:val="00CD48AC"/>
    <w:rsid w:val="00061F99"/>
    <w:rsid w:val="000F2E43"/>
    <w:rsid w:val="00113ED4"/>
    <w:rsid w:val="0017040F"/>
    <w:rsid w:val="00186C46"/>
    <w:rsid w:val="001E1F89"/>
    <w:rsid w:val="004E343D"/>
    <w:rsid w:val="006A0E0D"/>
    <w:rsid w:val="007662F0"/>
    <w:rsid w:val="00876533"/>
    <w:rsid w:val="00A00105"/>
    <w:rsid w:val="00BE73A8"/>
    <w:rsid w:val="00CD48AC"/>
    <w:rsid w:val="00D13061"/>
    <w:rsid w:val="00EE2541"/>
    <w:rsid w:val="08073238"/>
    <w:rsid w:val="0BDC6D23"/>
    <w:rsid w:val="0CDC3BD7"/>
    <w:rsid w:val="0D14336D"/>
    <w:rsid w:val="14F8090B"/>
    <w:rsid w:val="185B59A0"/>
    <w:rsid w:val="1914722A"/>
    <w:rsid w:val="1ADA6B24"/>
    <w:rsid w:val="257C2630"/>
    <w:rsid w:val="2F781BBB"/>
    <w:rsid w:val="32E00550"/>
    <w:rsid w:val="33131E4A"/>
    <w:rsid w:val="35B321EE"/>
    <w:rsid w:val="38704DC9"/>
    <w:rsid w:val="3BC767F9"/>
    <w:rsid w:val="559C312E"/>
    <w:rsid w:val="5B3B7712"/>
    <w:rsid w:val="5F6F9BF3"/>
    <w:rsid w:val="60C27AD9"/>
    <w:rsid w:val="67581AC8"/>
    <w:rsid w:val="67B45E54"/>
    <w:rsid w:val="6A5B75A0"/>
    <w:rsid w:val="7184019E"/>
    <w:rsid w:val="723527FB"/>
    <w:rsid w:val="73545831"/>
    <w:rsid w:val="77DC13E8"/>
    <w:rsid w:val="79D49D8A"/>
    <w:rsid w:val="7CDD2A5A"/>
    <w:rsid w:val="7D860E71"/>
    <w:rsid w:val="EF3FF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10"/>
    <w:autoRedefine/>
    <w:semiHidden/>
    <w:unhideWhenUsed/>
    <w:qFormat/>
    <w:uiPriority w:val="99"/>
    <w:pPr>
      <w:tabs>
        <w:tab w:val="center" w:pos="4153"/>
        <w:tab w:val="right" w:pos="8306"/>
      </w:tabs>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eastAsia="Arial"/>
    </w:rPr>
  </w:style>
  <w:style w:type="character" w:customStyle="1" w:styleId="9">
    <w:name w:val="页眉 Char"/>
    <w:basedOn w:val="6"/>
    <w:link w:val="4"/>
    <w:autoRedefine/>
    <w:semiHidden/>
    <w:qFormat/>
    <w:uiPriority w:val="99"/>
    <w:rPr>
      <w:snapToGrid w:val="0"/>
      <w:color w:val="000000"/>
      <w:sz w:val="18"/>
      <w:szCs w:val="18"/>
      <w:lang w:eastAsia="en-US"/>
    </w:rPr>
  </w:style>
  <w:style w:type="character" w:customStyle="1" w:styleId="10">
    <w:name w:val="页脚 Char"/>
    <w:basedOn w:val="6"/>
    <w:link w:val="3"/>
    <w:autoRedefine/>
    <w:semiHidden/>
    <w:qFormat/>
    <w:uiPriority w:val="99"/>
    <w:rPr>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331</Words>
  <Characters>1889</Characters>
  <Lines>15</Lines>
  <Paragraphs>4</Paragraphs>
  <TotalTime>25</TotalTime>
  <ScaleCrop>false</ScaleCrop>
  <LinksUpToDate>false</LinksUpToDate>
  <CharactersWithSpaces>2216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2024-05-12T01:17:00Z</dcterms:created>
  <dc:creator>HTXXLJG</dc:creator>
  <cp:lastModifiedBy>快乐生活</cp:lastModifiedBy>
  <dcterms:modified xsi:type="dcterms:W3CDTF">2024-05-13T07:44:13Z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2024-05-11T09:17:47Z</vt:filetime>
  </property>
  <property fmtid="{D5CDD505-2E9C-101B-9397-08002B2CF9AE}" pid="4" name="UsrData">
    <vt:lpwstr>663ec7333eb874001fb8380dwl</vt:lpwstr>
  </property>
  <property fmtid="{D5CDD505-2E9C-101B-9397-08002B2CF9AE}" pid="5" name="KSOProductBuildVer">
    <vt:lpwstr>2052-12.1.0.16729</vt:lpwstr>
  </property>
  <property fmtid="{D5CDD505-2E9C-101B-9397-08002B2CF9AE}" pid="6" name="ICV">
    <vt:lpwstr>3763957F8B8149ACA1A9098DC5E79BC7_12</vt:lpwstr>
  </property>
</Properties>
</file>